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B27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C978A9">
            <w:pPr>
              <w:pStyle w:val="18"/>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026CA2E">
            <w:pPr>
              <w:pStyle w:val="18"/>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13.020</w:t>
            </w:r>
            <w:r>
              <w:rPr>
                <w:rFonts w:ascii="Times New Roman" w:hAnsi="Times New Roman" w:eastAsia="黑体"/>
                <w:sz w:val="21"/>
                <w:szCs w:val="21"/>
              </w:rPr>
              <w:fldChar w:fldCharType="end"/>
            </w:r>
            <w:bookmarkEnd w:id="0"/>
          </w:p>
        </w:tc>
      </w:tr>
      <w:tr w14:paraId="6362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CE01C5">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44DFF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B26A327">
                  <w:pPr>
                    <w:pStyle w:val="50"/>
                    <w:framePr w:wrap="notBeside" w:vAnchor="page" w:hAnchor="page" w:x="1372" w:y="568"/>
                    <w:ind w:left="420" w:right="624"/>
                    <w:rPr>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CQSES</w:t>
                  </w:r>
                  <w:r>
                    <w:fldChar w:fldCharType="end"/>
                  </w:r>
                  <w:bookmarkEnd w:id="1"/>
                </w:p>
              </w:tc>
            </w:tr>
          </w:tbl>
          <w:p w14:paraId="5F3DDD60">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2"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Z06</w:t>
            </w:r>
            <w:r>
              <w:rPr>
                <w:rFonts w:ascii="Times New Roman" w:hAnsi="Times New Roman" w:eastAsia="黑体"/>
                <w:sz w:val="21"/>
                <w:szCs w:val="21"/>
              </w:rPr>
              <w:fldChar w:fldCharType="end"/>
            </w:r>
            <w:bookmarkEnd w:id="2"/>
          </w:p>
        </w:tc>
      </w:tr>
    </w:tbl>
    <w:p w14:paraId="58067440">
      <w:pPr>
        <w:pStyle w:val="51"/>
        <w:framePr w:w="9639" w:h="624" w:hRule="exact" w:hSpace="181" w:vSpace="181" w:wrap="around" w:hAnchor="page" w:x="1305" w:y="2269"/>
        <w:rPr>
          <w:rFonts w:ascii="Times New Roman" w:eastAsia="黑体"/>
          <w:b w:val="0"/>
          <w:bCs w:val="0"/>
          <w:w w:val="100"/>
          <w:sz w:val="48"/>
          <w:szCs w:val="48"/>
        </w:rPr>
      </w:pPr>
      <w:bookmarkStart w:id="3" w:name="_Hlk26473981"/>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重庆市环境科学学会</w:t>
      </w:r>
      <w:r>
        <w:rPr>
          <w:rFonts w:ascii="Times New Roman" w:eastAsia="黑体"/>
          <w:b w:val="0"/>
          <w:w w:val="100"/>
          <w:sz w:val="48"/>
        </w:rPr>
        <w:fldChar w:fldCharType="end"/>
      </w:r>
      <w:bookmarkEnd w:id="4"/>
      <w:r>
        <w:rPr>
          <w:rFonts w:ascii="Times New Roman" w:eastAsia="黑体"/>
          <w:b w:val="0"/>
          <w:w w:val="100"/>
          <w:sz w:val="48"/>
        </w:rPr>
        <w:t>团体</w:t>
      </w:r>
      <w:r>
        <w:rPr>
          <w:rFonts w:ascii="Times New Roman" w:eastAsia="黑体"/>
          <w:b w:val="0"/>
          <w:bCs w:val="0"/>
          <w:w w:val="100"/>
          <w:sz w:val="48"/>
          <w:szCs w:val="48"/>
        </w:rPr>
        <w:t>标准</w:t>
      </w:r>
    </w:p>
    <w:bookmarkEnd w:id="3"/>
    <w:p w14:paraId="0AA6ADD2">
      <w:pPr>
        <w:pStyle w:val="196"/>
        <w:rPr>
          <w:rFonts w:ascii="Times New Roman"/>
        </w:rPr>
      </w:pPr>
      <w:r>
        <w:rPr>
          <w:rFonts w:ascii="Times New Roman"/>
        </w:rPr>
        <w:t>T/</w:t>
      </w:r>
      <w:r>
        <w:rPr>
          <w:rFonts w:ascii="Times New Roman"/>
        </w:rPr>
        <w:fldChar w:fldCharType="begin">
          <w:ffData>
            <w:name w:val="文字1"/>
            <w:enabled/>
            <w:calcOnExit w:val="0"/>
            <w:textInput>
              <w:default w:val="XXX"/>
            </w:textInput>
          </w:ffData>
        </w:fldChar>
      </w:r>
      <w:bookmarkStart w:id="5" w:name="文字1"/>
      <w:r>
        <w:rPr>
          <w:rFonts w:ascii="Times New Roman"/>
        </w:rPr>
        <w:instrText xml:space="preserve"> FORMTEXT </w:instrText>
      </w:r>
      <w:r>
        <w:rPr>
          <w:rFonts w:ascii="Times New Roman"/>
        </w:rPr>
        <w:fldChar w:fldCharType="separate"/>
      </w:r>
      <w:r>
        <w:rPr>
          <w:rFonts w:ascii="Times New Roman"/>
        </w:rPr>
        <w:t>CQSES</w:t>
      </w:r>
      <w:r>
        <w:rPr>
          <w:rFonts w:ascii="Times New Roman"/>
        </w:rPr>
        <w:fldChar w:fldCharType="end"/>
      </w:r>
      <w:bookmarkEnd w:id="5"/>
      <w:r>
        <w:rPr>
          <w:rFonts w:ascii="Times New Roman"/>
        </w:rPr>
        <w:t xml:space="preserve"> </w:t>
      </w:r>
      <w:r>
        <w:rPr>
          <w:rFonts w:ascii="Times New Roman"/>
        </w:rPr>
        <w:fldChar w:fldCharType="begin">
          <w:ffData>
            <w:name w:val="NSTD_CODE_F"/>
            <w:enabled/>
            <w:calcOnExit w:val="0"/>
            <w:textInput>
              <w:default w:val="XXXX"/>
            </w:textInput>
          </w:ffData>
        </w:fldChar>
      </w:r>
      <w:bookmarkStart w:id="6" w:name="NSTD_CODE_F"/>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6"/>
      <w:r>
        <w:rPr>
          <w:rFonts w:ascii="Times New Roman"/>
        </w:rPr>
        <w:t>—</w:t>
      </w:r>
      <w:r>
        <w:rPr>
          <w:rFonts w:ascii="Times New Roman"/>
        </w:rPr>
        <w:fldChar w:fldCharType="begin">
          <w:ffData>
            <w:name w:val="NSTD_CODE_B"/>
            <w:enabled/>
            <w:calcOnExit w:val="0"/>
            <w:textInput>
              <w:default w:val="XXXX"/>
            </w:textInput>
          </w:ffData>
        </w:fldChar>
      </w:r>
      <w:bookmarkStart w:id="7" w:name="NSTD_CODE_B"/>
      <w:r>
        <w:rPr>
          <w:rFonts w:ascii="Times New Roman"/>
        </w:rPr>
        <w:instrText xml:space="preserve"> FORMTEXT </w:instrText>
      </w:r>
      <w:r>
        <w:rPr>
          <w:rFonts w:ascii="Times New Roman"/>
        </w:rPr>
        <w:fldChar w:fldCharType="separate"/>
      </w:r>
      <w:r>
        <w:rPr>
          <w:rFonts w:ascii="Times New Roman"/>
        </w:rPr>
        <w:t>2026</w:t>
      </w:r>
      <w:r>
        <w:rPr>
          <w:rFonts w:ascii="Times New Roman"/>
        </w:rPr>
        <w:fldChar w:fldCharType="end"/>
      </w:r>
      <w:bookmarkEnd w:id="7"/>
    </w:p>
    <w:p w14:paraId="3766FA5A">
      <w:pPr>
        <w:pStyle w:val="197"/>
        <w:rPr>
          <w:rFonts w:ascii="Times New Roman"/>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14:paraId="049F16DB">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3C7FF6">
      <w:pPr>
        <w:pStyle w:val="51"/>
        <w:framePr w:w="9639" w:h="6976" w:hRule="exact" w:hSpace="0" w:vSpace="0" w:wrap="around" w:hAnchor="page" w:y="6408"/>
        <w:jc w:val="center"/>
        <w:rPr>
          <w:rFonts w:ascii="Times New Roman" w:eastAsia="黑体"/>
          <w:b w:val="0"/>
          <w:bCs w:val="0"/>
          <w:w w:val="100"/>
        </w:rPr>
      </w:pPr>
    </w:p>
    <w:p w14:paraId="3A05E73F">
      <w:pPr>
        <w:pStyle w:val="198"/>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城市深水湖库富营养化地基高光谱</w:t>
      </w:r>
    </w:p>
    <w:p w14:paraId="0F851E6D">
      <w:pPr>
        <w:pStyle w:val="198"/>
        <w:framePr w:h="6974" w:hRule="exact" w:wrap="around" w:x="1419" w:anchorLock="1"/>
        <w:rPr>
          <w:rFonts w:ascii="Times New Roman" w:hAnsi="Times New Roman"/>
        </w:rPr>
      </w:pPr>
      <w:r>
        <w:rPr>
          <w:rFonts w:ascii="Times New Roman" w:hAnsi="Times New Roman"/>
        </w:rPr>
        <w:t>遥感监测技术指南</w:t>
      </w:r>
      <w:r>
        <w:rPr>
          <w:rFonts w:ascii="Times New Roman" w:hAnsi="Times New Roman"/>
        </w:rPr>
        <w:fldChar w:fldCharType="end"/>
      </w:r>
      <w:bookmarkEnd w:id="9"/>
    </w:p>
    <w:p w14:paraId="00ECFA77">
      <w:pPr>
        <w:framePr w:w="9639" w:h="6974" w:hRule="exact" w:wrap="around" w:vAnchor="page" w:hAnchor="page" w:x="1419" w:y="6408" w:anchorLock="1"/>
        <w:ind w:left="-1418"/>
        <w:rPr>
          <w:rFonts w:ascii="Times New Roman" w:hAnsi="Times New Roman"/>
        </w:rPr>
      </w:pPr>
    </w:p>
    <w:p w14:paraId="1E5169EB">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guide for hyperspectral remote sensing monitoring of eutrophication in urban deep water lakes and reservoirs</w:t>
      </w:r>
      <w:r>
        <w:rPr>
          <w:rFonts w:eastAsia="黑体"/>
          <w:szCs w:val="28"/>
        </w:rPr>
        <w:fldChar w:fldCharType="end"/>
      </w:r>
      <w:bookmarkEnd w:id="10"/>
    </w:p>
    <w:p w14:paraId="3459292D">
      <w:pPr>
        <w:framePr w:w="9639" w:h="6974" w:hRule="exact" w:wrap="around" w:vAnchor="page" w:hAnchor="page" w:x="1419" w:y="6408" w:anchorLock="1"/>
        <w:spacing w:line="760" w:lineRule="exact"/>
        <w:ind w:left="-1418"/>
        <w:rPr>
          <w:rFonts w:ascii="Times New Roman" w:hAnsi="Times New Roman"/>
        </w:rPr>
      </w:pPr>
    </w:p>
    <w:p w14:paraId="5B8D694B">
      <w:pPr>
        <w:pStyle w:val="126"/>
        <w:framePr w:w="9639" w:h="6974" w:hRule="exact" w:wrap="around" w:vAnchor="page" w:hAnchor="page" w:x="1419" w:y="6408" w:anchorLock="1"/>
        <w:textAlignment w:val="bottom"/>
        <w:rPr>
          <w:rFonts w:eastAsia="黑体"/>
          <w:szCs w:val="28"/>
        </w:rPr>
      </w:pPr>
    </w:p>
    <w:p w14:paraId="5B0D3E72">
      <w:pPr>
        <w:pStyle w:val="126"/>
        <w:framePr w:w="9639" w:h="6974" w:hRule="exact" w:wrap="around" w:vAnchor="page" w:hAnchor="page" w:x="1419" w:y="6408" w:anchorLock="1"/>
        <w:spacing w:before="440" w:after="160"/>
        <w:textAlignment w:val="bottom"/>
        <w:rPr>
          <w:sz w:val="24"/>
          <w:szCs w:val="28"/>
        </w:rPr>
      </w:pPr>
      <w:r>
        <w:rPr>
          <w:sz w:val="24"/>
          <w:szCs w:val="28"/>
        </w:rPr>
        <w:t>（征求意见稿）</w:t>
      </w:r>
    </w:p>
    <w:p w14:paraId="262175A1">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CAA6FA3">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6189AB5C">
      <w:pPr>
        <w:pStyle w:val="194"/>
        <w:framePr w:wrap="around" w:y="14176"/>
      </w:pPr>
      <w:r>
        <w:fldChar w:fldCharType="begin">
          <w:ffData>
            <w:name w:val="PLSH_DATE_Y"/>
            <w:enabled/>
            <w:calcOnExit w:val="0"/>
            <w:textInput>
              <w:default w:val="XXXX"/>
              <w:maxLength w:val="4"/>
            </w:textInput>
          </w:ffData>
        </w:fldChar>
      </w:r>
      <w:bookmarkStart w:id="13" w:name="PLSH_DATE_Y"/>
      <w:r>
        <w:instrText xml:space="preserve"> FORMTEXT </w:instrText>
      </w:r>
      <w:r>
        <w:fldChar w:fldCharType="separate"/>
      </w:r>
      <w:r>
        <w:t>2026</w:t>
      </w:r>
      <w:r>
        <w:fldChar w:fldCharType="end"/>
      </w:r>
      <w:bookmarkEnd w:id="13"/>
      <w:r>
        <w:t xml:space="preserve"> - </w:t>
      </w:r>
      <w:r>
        <w:fldChar w:fldCharType="begin">
          <w:ffData>
            <w:name w:val="PLSH_DATE_M"/>
            <w:enabled/>
            <w:calcOnExit w:val="0"/>
            <w:textInput>
              <w:default w:val="XX"/>
              <w:maxLength w:val="2"/>
            </w:textInput>
          </w:ffData>
        </w:fldChar>
      </w:r>
      <w:bookmarkStart w:id="14" w:name="PLSH_DATE_M"/>
      <w:r>
        <w:instrText xml:space="preserve"> FORMTEXT </w:instrText>
      </w:r>
      <w:r>
        <w:fldChar w:fldCharType="separate"/>
      </w:r>
      <w:r>
        <w:t>XX</w:t>
      </w:r>
      <w:r>
        <w:fldChar w:fldCharType="end"/>
      </w:r>
      <w:bookmarkEnd w:id="14"/>
      <w:r>
        <w:t xml:space="preserve"> - </w:t>
      </w:r>
      <w:r>
        <w:fldChar w:fldCharType="begin">
          <w:ffData>
            <w:name w:val="PLSH_DATE_D"/>
            <w:enabled/>
            <w:calcOnExit w:val="0"/>
            <w:textInput>
              <w:default w:val="XX"/>
              <w:maxLength w:val="2"/>
            </w:textInput>
          </w:ffData>
        </w:fldChar>
      </w:r>
      <w:bookmarkStart w:id="15" w:name="PLSH_DATE_D"/>
      <w:r>
        <w:instrText xml:space="preserve"> FORMTEXT </w:instrText>
      </w:r>
      <w:r>
        <w:fldChar w:fldCharType="separate"/>
      </w:r>
      <w:r>
        <w:t>XX</w:t>
      </w:r>
      <w:r>
        <w:fldChar w:fldCharType="end"/>
      </w:r>
      <w:bookmarkEnd w:id="15"/>
      <w:r>
        <w:t>发布</w:t>
      </w:r>
    </w:p>
    <w:p w14:paraId="797FDF08">
      <w:pPr>
        <w:pStyle w:val="195"/>
        <w:framePr w:wrap="around" w:y="14176"/>
      </w:pPr>
      <w:r>
        <w:fldChar w:fldCharType="begin">
          <w:ffData>
            <w:name w:val="CROT_DATE_Y"/>
            <w:enabled/>
            <w:calcOnExit w:val="0"/>
            <w:textInput>
              <w:default w:val="XXXX"/>
              <w:maxLength w:val="4"/>
            </w:textInput>
          </w:ffData>
        </w:fldChar>
      </w:r>
      <w:bookmarkStart w:id="16" w:name="CROT_DATE_Y"/>
      <w:r>
        <w:instrText xml:space="preserve"> FORMTEXT </w:instrText>
      </w:r>
      <w:r>
        <w:fldChar w:fldCharType="separate"/>
      </w:r>
      <w:r>
        <w:t>2026</w:t>
      </w:r>
      <w:r>
        <w:fldChar w:fldCharType="end"/>
      </w:r>
      <w:bookmarkEnd w:id="16"/>
      <w:r>
        <w:t xml:space="preserve"> - </w:t>
      </w:r>
      <w:r>
        <w:fldChar w:fldCharType="begin">
          <w:ffData>
            <w:name w:val="CROT_DATE_M"/>
            <w:enabled/>
            <w:calcOnExit w:val="0"/>
            <w:textInput>
              <w:default w:val="XX"/>
              <w:maxLength w:val="2"/>
            </w:textInput>
          </w:ffData>
        </w:fldChar>
      </w:r>
      <w:bookmarkStart w:id="17" w:name="CROT_DATE_M"/>
      <w:r>
        <w:instrText xml:space="preserve"> FORMTEXT </w:instrText>
      </w:r>
      <w:r>
        <w:fldChar w:fldCharType="separate"/>
      </w:r>
      <w:r>
        <w:t>XX</w:t>
      </w:r>
      <w:r>
        <w:fldChar w:fldCharType="end"/>
      </w:r>
      <w:bookmarkEnd w:id="17"/>
      <w:r>
        <w:t xml:space="preserve"> - </w:t>
      </w:r>
      <w:r>
        <w:fldChar w:fldCharType="begin">
          <w:ffData>
            <w:name w:val="CROT_DATE_D"/>
            <w:enabled/>
            <w:calcOnExit w:val="0"/>
            <w:textInput>
              <w:default w:val="XX"/>
              <w:maxLength w:val="2"/>
            </w:textInput>
          </w:ffData>
        </w:fldChar>
      </w:r>
      <w:bookmarkStart w:id="18" w:name="CROT_DATE_D"/>
      <w:r>
        <w:instrText xml:space="preserve"> FORMTEXT </w:instrText>
      </w:r>
      <w:r>
        <w:fldChar w:fldCharType="separate"/>
      </w:r>
      <w:r>
        <w:t>XX</w:t>
      </w:r>
      <w:r>
        <w:fldChar w:fldCharType="end"/>
      </w:r>
      <w:bookmarkEnd w:id="18"/>
      <w:r>
        <w:t>实施</w:t>
      </w:r>
    </w:p>
    <w:p w14:paraId="399C245A">
      <w:pPr>
        <w:pStyle w:val="152"/>
        <w:framePr w:h="584" w:hRule="exact" w:hSpace="181" w:vSpace="181" w:wrap="around" w:y="14800"/>
        <w:rPr>
          <w:rFonts w:ascii="Times New Roman"/>
        </w:rPr>
      </w:pPr>
      <w:r>
        <w:rPr>
          <w:rFonts w:ascii="Times New Roman"/>
          <w:w w:val="100"/>
          <w:sz w:val="28"/>
        </w:rPr>
        <w:fldChar w:fldCharType="begin">
          <w:ffData>
            <w:name w:val="fm"/>
            <w:enabled/>
            <w:calcOnExit w:val="0"/>
            <w:textInput/>
          </w:ffData>
        </w:fldChar>
      </w:r>
      <w:bookmarkStart w:id="19"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重庆市环境科学学会</w:t>
      </w:r>
      <w:r>
        <w:rPr>
          <w:rFonts w:ascii="Times New Roman"/>
          <w:w w:val="100"/>
          <w:sz w:val="28"/>
        </w:rPr>
        <w:fldChar w:fldCharType="end"/>
      </w:r>
      <w:bookmarkEnd w:id="19"/>
      <w:r>
        <w:rPr>
          <w:rFonts w:ascii="Times New Roman"/>
          <w:w w:val="100"/>
          <w:sz w:val="28"/>
        </w:rPr>
        <w:t>  </w:t>
      </w:r>
      <w:r>
        <w:rPr>
          <w:rStyle w:val="230"/>
          <w:rFonts w:ascii="Times New Roman"/>
          <w:position w:val="0"/>
        </w:rPr>
        <w:t>发</w:t>
      </w:r>
      <w:r>
        <w:rPr>
          <w:rStyle w:val="230"/>
          <w:rFonts w:ascii="Times New Roman"/>
          <w:spacing w:val="0"/>
          <w:position w:val="0"/>
        </w:rPr>
        <w:t>布</w:t>
      </w:r>
    </w:p>
    <w:p w14:paraId="362B60A5">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276C83">
      <w:pPr>
        <w:pStyle w:val="92"/>
        <w:spacing w:after="360"/>
        <w:rPr>
          <w:rFonts w:ascii="Times New Roman" w:hAnsi="Times New Roman"/>
        </w:rPr>
      </w:pPr>
      <w:bookmarkStart w:id="20" w:name="BookMark1"/>
      <w:r>
        <w:rPr>
          <w:rFonts w:ascii="Times New Roman" w:hAnsi="Times New Roman"/>
          <w:spacing w:val="320"/>
        </w:rPr>
        <w:t>目</w:t>
      </w:r>
      <w:r>
        <w:rPr>
          <w:rFonts w:ascii="Times New Roman" w:hAnsi="Times New Roman"/>
        </w:rPr>
        <w:t>次</w:t>
      </w:r>
    </w:p>
    <w:p w14:paraId="387ABDE0">
      <w:pPr>
        <w:pStyle w:val="19"/>
        <w:tabs>
          <w:tab w:val="right" w:leader="dot" w:pos="9354"/>
        </w:tabs>
        <w:rPr>
          <w:rFonts w:ascii="Times New Roman" w:hAnsi="Times New Roman"/>
        </w:rPr>
      </w:pPr>
      <w:r>
        <w:rPr>
          <w:rFonts w:ascii="Times New Roman" w:hAnsi="Times New Roman"/>
        </w:rPr>
        <w:fldChar w:fldCharType="begin"/>
      </w:r>
      <w:r>
        <w:rPr>
          <w:rFonts w:ascii="Times New Roman" w:hAnsi="Times New Roman"/>
        </w:rPr>
        <w:instrText xml:space="preserve">TOC \o "1-1" \t "标准文件_一级条标题,2,标准文件_附录一级条标题,2," \h</w:instrText>
      </w:r>
      <w:r>
        <w:rPr>
          <w:rFonts w:ascii="Times New Roman" w:hAnsi="Times New Roman"/>
        </w:rPr>
        <w:fldChar w:fldCharType="separate"/>
      </w:r>
      <w:r>
        <w:fldChar w:fldCharType="begin"/>
      </w:r>
      <w:r>
        <w:instrText xml:space="preserve"> HYPERLINK \l "_Toc13048" </w:instrText>
      </w:r>
      <w:r>
        <w:fldChar w:fldCharType="separate"/>
      </w:r>
      <w:r>
        <w:rPr>
          <w:rFonts w:ascii="Times New Roman" w:hAns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_Toc13048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57D2FD82">
      <w:pPr>
        <w:pStyle w:val="19"/>
        <w:tabs>
          <w:tab w:val="right" w:leader="dot" w:pos="9354"/>
        </w:tabs>
        <w:rPr>
          <w:rFonts w:ascii="Times New Roman" w:hAnsi="Times New Roman"/>
        </w:rPr>
      </w:pPr>
      <w:r>
        <w:fldChar w:fldCharType="begin"/>
      </w:r>
      <w:r>
        <w:instrText xml:space="preserve"> HYPERLINK \l "_Toc32587" </w:instrText>
      </w:r>
      <w:r>
        <w:fldChar w:fldCharType="separate"/>
      </w:r>
      <w:r>
        <w:rPr>
          <w:rFonts w:ascii="Times New Roman" w:hAnsi="Times New Roman" w:eastAsia="黑体"/>
        </w:rPr>
        <w:t xml:space="preserve">1  </w:t>
      </w:r>
      <w:r>
        <w:rPr>
          <w:rFonts w:ascii="Times New Roman" w:hAnsi="Times New Roman"/>
        </w:rPr>
        <w:t>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_Toc32587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4545AD6">
      <w:pPr>
        <w:pStyle w:val="19"/>
        <w:tabs>
          <w:tab w:val="right" w:leader="dot" w:pos="9354"/>
        </w:tabs>
        <w:rPr>
          <w:rFonts w:ascii="Times New Roman" w:hAnsi="Times New Roman"/>
        </w:rPr>
      </w:pPr>
      <w:r>
        <w:fldChar w:fldCharType="begin"/>
      </w:r>
      <w:r>
        <w:instrText xml:space="preserve"> HYPERLINK \l "_Toc3596" </w:instrText>
      </w:r>
      <w:r>
        <w:fldChar w:fldCharType="separate"/>
      </w:r>
      <w:r>
        <w:rPr>
          <w:rFonts w:ascii="Times New Roman" w:hAnsi="Times New Roman" w:eastAsia="黑体"/>
        </w:rPr>
        <w:t xml:space="preserve">2  </w:t>
      </w:r>
      <w:r>
        <w:rPr>
          <w:rFonts w:ascii="Times New Roman" w:hAnsi="Times New Roman"/>
        </w:rPr>
        <w:t>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_Toc3596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32DB230">
      <w:pPr>
        <w:pStyle w:val="19"/>
        <w:tabs>
          <w:tab w:val="right" w:leader="dot" w:pos="9354"/>
        </w:tabs>
        <w:rPr>
          <w:rFonts w:ascii="Times New Roman" w:hAnsi="Times New Roman"/>
        </w:rPr>
      </w:pPr>
      <w:r>
        <w:fldChar w:fldCharType="begin"/>
      </w:r>
      <w:r>
        <w:instrText xml:space="preserve"> HYPERLINK \l "_Toc6866" </w:instrText>
      </w:r>
      <w:r>
        <w:fldChar w:fldCharType="separate"/>
      </w:r>
      <w:r>
        <w:rPr>
          <w:rFonts w:ascii="Times New Roman" w:hAnsi="Times New Roman" w:eastAsia="黑体"/>
        </w:rPr>
        <w:t xml:space="preserve">3  </w:t>
      </w:r>
      <w:r>
        <w:rPr>
          <w:rFonts w:ascii="Times New Roman" w:hAnsi="Times New Roman"/>
        </w:rPr>
        <w:t>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_Toc6866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B19AB3C">
      <w:pPr>
        <w:pStyle w:val="19"/>
        <w:tabs>
          <w:tab w:val="right" w:leader="dot" w:pos="9354"/>
        </w:tabs>
        <w:rPr>
          <w:rFonts w:ascii="Times New Roman" w:hAnsi="Times New Roman"/>
        </w:rPr>
      </w:pPr>
      <w:r>
        <w:fldChar w:fldCharType="begin"/>
      </w:r>
      <w:r>
        <w:instrText xml:space="preserve"> HYPERLINK \l "_Toc19664" </w:instrText>
      </w:r>
      <w:r>
        <w:fldChar w:fldCharType="separate"/>
      </w:r>
      <w:r>
        <w:rPr>
          <w:rFonts w:ascii="Times New Roman" w:hAnsi="Times New Roman" w:eastAsia="黑体"/>
        </w:rPr>
        <w:t xml:space="preserve">4  </w:t>
      </w:r>
      <w:r>
        <w:rPr>
          <w:rFonts w:ascii="Times New Roman" w:hAnsi="Times New Roman"/>
        </w:rPr>
        <w:t>技术路线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_Toc19664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32CB07CC">
      <w:pPr>
        <w:pStyle w:val="19"/>
        <w:tabs>
          <w:tab w:val="right" w:leader="dot" w:pos="9354"/>
        </w:tabs>
        <w:rPr>
          <w:rFonts w:ascii="Times New Roman" w:hAnsi="Times New Roman"/>
        </w:rPr>
      </w:pPr>
      <w:r>
        <w:fldChar w:fldCharType="begin"/>
      </w:r>
      <w:r>
        <w:instrText xml:space="preserve"> HYPERLINK \l "_Toc25490" </w:instrText>
      </w:r>
      <w:r>
        <w:fldChar w:fldCharType="separate"/>
      </w:r>
      <w:r>
        <w:rPr>
          <w:rFonts w:ascii="Times New Roman" w:hAnsi="Times New Roman" w:eastAsia="黑体"/>
        </w:rPr>
        <w:t xml:space="preserve">5  </w:t>
      </w:r>
      <w:r>
        <w:rPr>
          <w:rFonts w:ascii="Times New Roman" w:hAnsi="Times New Roman"/>
        </w:rPr>
        <w:t>技术要求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_Toc25490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31F6DF46">
      <w:pPr>
        <w:pStyle w:val="19"/>
        <w:tabs>
          <w:tab w:val="right" w:leader="dot" w:pos="9354"/>
        </w:tabs>
        <w:rPr>
          <w:rFonts w:ascii="Times New Roman" w:hAnsi="Times New Roman"/>
        </w:rPr>
      </w:pPr>
      <w:r>
        <w:fldChar w:fldCharType="begin"/>
      </w:r>
      <w:r>
        <w:instrText xml:space="preserve"> HYPERLINK \l "_Toc14347" </w:instrText>
      </w:r>
      <w:r>
        <w:fldChar w:fldCharType="separate"/>
      </w:r>
      <w:r>
        <w:rPr>
          <w:rFonts w:ascii="Times New Roman" w:hAnsi="Times New Roman" w:eastAsia="黑体"/>
        </w:rPr>
        <w:t xml:space="preserve">6  </w:t>
      </w:r>
      <w:r>
        <w:rPr>
          <w:rFonts w:ascii="Times New Roman" w:hAnsi="Times New Roman"/>
        </w:rPr>
        <w:t>地基高光谱监测指标反演模型及富营养化评价方法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_Toc14347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66E042D0">
      <w:pPr>
        <w:pStyle w:val="19"/>
        <w:tabs>
          <w:tab w:val="right" w:leader="dot" w:pos="9354"/>
        </w:tabs>
        <w:rPr>
          <w:rFonts w:ascii="Times New Roman" w:hAnsi="Times New Roman"/>
        </w:rPr>
      </w:pPr>
      <w:r>
        <w:fldChar w:fldCharType="begin"/>
      </w:r>
      <w:r>
        <w:instrText xml:space="preserve"> HYPERLINK \l "_Toc2690" </w:instrText>
      </w:r>
      <w:r>
        <w:fldChar w:fldCharType="separate"/>
      </w:r>
      <w:r>
        <w:rPr>
          <w:rFonts w:ascii="Times New Roman" w:hAnsi="Times New Roman" w:eastAsia="黑体"/>
        </w:rPr>
        <w:t xml:space="preserve">7  </w:t>
      </w:r>
      <w:r>
        <w:rPr>
          <w:rFonts w:ascii="Times New Roman" w:hAnsi="Times New Roman"/>
        </w:rPr>
        <w:t>地基高光谱监测数据质量控制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_Toc2690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4702338">
      <w:pPr>
        <w:pStyle w:val="19"/>
        <w:tabs>
          <w:tab w:val="right" w:leader="dot" w:pos="9354"/>
        </w:tabs>
        <w:rPr>
          <w:rFonts w:ascii="Times New Roman" w:hAnsi="Times New Roman"/>
        </w:rPr>
      </w:pPr>
      <w:r>
        <w:fldChar w:fldCharType="begin"/>
      </w:r>
      <w:r>
        <w:instrText xml:space="preserve"> HYPERLINK \l "_Toc20732" </w:instrText>
      </w:r>
      <w:r>
        <w:fldChar w:fldCharType="separate"/>
      </w:r>
      <w:r>
        <w:rPr>
          <w:rFonts w:ascii="Times New Roman" w:hAnsi="Times New Roman" w:eastAsia="黑体"/>
        </w:rPr>
        <w:t xml:space="preserve">8  </w:t>
      </w:r>
      <w:r>
        <w:rPr>
          <w:rFonts w:ascii="Times New Roman" w:hAnsi="Times New Roman"/>
        </w:rPr>
        <w:t>地基高光谱富营养化监测设备安装及运行维护</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_Toc20732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1D03E646">
      <w:pPr>
        <w:pStyle w:val="92"/>
        <w:spacing w:after="360"/>
        <w:rPr>
          <w:rFonts w:ascii="Times New Roman" w:hAnsi="Times New Roman"/>
        </w:rPr>
        <w:sectPr>
          <w:headerReference r:id="rId9" w:type="default"/>
          <w:footerReference r:id="rId11" w:type="default"/>
          <w:headerReference r:id="rId10" w:type="even"/>
          <w:footerReference r:id="rId12"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linePitch="312" w:charSpace="0"/>
        </w:sectPr>
      </w:pPr>
      <w:r>
        <w:rPr>
          <w:rFonts w:ascii="Times New Roman" w:hAnsi="Times New Roman"/>
        </w:rPr>
        <w:fldChar w:fldCharType="end"/>
      </w:r>
    </w:p>
    <w:bookmarkEnd w:id="20"/>
    <w:p w14:paraId="39A5D77C">
      <w:pPr>
        <w:pStyle w:val="90"/>
        <w:spacing w:before="560" w:after="360"/>
        <w:rPr>
          <w:rFonts w:ascii="Times New Roman"/>
        </w:rPr>
      </w:pPr>
      <w:bookmarkStart w:id="21" w:name="_Toc13048"/>
      <w:bookmarkStart w:id="22" w:name="BookMark2"/>
      <w:r>
        <w:rPr>
          <w:rFonts w:ascii="Times New Roman"/>
          <w:spacing w:val="320"/>
        </w:rPr>
        <w:t>前</w:t>
      </w:r>
      <w:r>
        <w:rPr>
          <w:rFonts w:ascii="Times New Roman"/>
        </w:rPr>
        <w:t>言</w:t>
      </w:r>
      <w:bookmarkEnd w:id="21"/>
    </w:p>
    <w:p w14:paraId="2A487189">
      <w:pPr>
        <w:pStyle w:val="57"/>
        <w:ind w:firstLine="420"/>
      </w:pPr>
      <w:r>
        <w:t>本文件按照GB/T 1.1—2020《标准化工作导则  第1部分：标准化文件的结构和起草规则》的规定起草。</w:t>
      </w:r>
    </w:p>
    <w:p w14:paraId="3838652B">
      <w:pPr>
        <w:pStyle w:val="57"/>
        <w:ind w:firstLine="420"/>
      </w:pPr>
      <w:r>
        <w:t>本文件的某些内容可能涉及专利。本文件的发布机构不承担识别专利的责任。</w:t>
      </w:r>
    </w:p>
    <w:p w14:paraId="668DF8A3">
      <w:pPr>
        <w:pStyle w:val="57"/>
        <w:ind w:firstLine="420"/>
      </w:pPr>
      <w:r>
        <w:t>本文件由重庆市生态环境科学研究院提出。</w:t>
      </w:r>
    </w:p>
    <w:p w14:paraId="6F887322">
      <w:pPr>
        <w:pStyle w:val="57"/>
        <w:ind w:firstLine="420"/>
      </w:pPr>
      <w:r>
        <w:t>本文件由重庆市环境科学学会归口。</w:t>
      </w:r>
    </w:p>
    <w:p w14:paraId="60B5CB19">
      <w:pPr>
        <w:pStyle w:val="57"/>
        <w:ind w:firstLine="420"/>
        <w:rPr>
          <w:color w:val="FF0000"/>
        </w:rPr>
      </w:pPr>
      <w:r>
        <w:t>本文件起草单位：</w:t>
      </w:r>
      <w:r>
        <w:rPr>
          <w:color w:val="000000" w:themeColor="text1"/>
          <w14:textFill>
            <w14:solidFill>
              <w14:schemeClr w14:val="tx1"/>
            </w14:solidFill>
          </w14:textFill>
        </w:rPr>
        <w:t>重庆市生态环境科学研究院、中国科学院重庆绿色智能技术研究院。</w:t>
      </w:r>
    </w:p>
    <w:p w14:paraId="41602A3F">
      <w:pPr>
        <w:pStyle w:val="57"/>
        <w:ind w:firstLine="420"/>
        <w:rPr>
          <w:color w:val="auto"/>
        </w:rPr>
      </w:pPr>
      <w:bookmarkStart w:id="77" w:name="_GoBack"/>
      <w:r>
        <w:rPr>
          <w:color w:val="auto"/>
        </w:rPr>
        <w:t>本文件主要起草人：</w:t>
      </w:r>
      <w:r>
        <w:rPr>
          <w:rFonts w:hint="eastAsia"/>
          <w:color w:val="auto"/>
        </w:rPr>
        <w:t>封丽</w:t>
      </w:r>
      <w:r>
        <w:rPr>
          <w:rFonts w:hint="eastAsia"/>
          <w:color w:val="auto"/>
          <w:lang w:eastAsia="zh-CN"/>
        </w:rPr>
        <w:t>、</w:t>
      </w:r>
      <w:r>
        <w:rPr>
          <w:rFonts w:hint="eastAsia"/>
          <w:color w:val="auto"/>
        </w:rPr>
        <w:t>姚源</w:t>
      </w:r>
      <w:r>
        <w:rPr>
          <w:rFonts w:hint="eastAsia"/>
          <w:color w:val="auto"/>
          <w:lang w:eastAsia="zh-CN"/>
        </w:rPr>
        <w:t>、</w:t>
      </w:r>
      <w:r>
        <w:rPr>
          <w:rFonts w:hint="eastAsia"/>
          <w:color w:val="auto"/>
        </w:rPr>
        <w:t>吴进</w:t>
      </w:r>
      <w:r>
        <w:rPr>
          <w:rFonts w:hint="eastAsia"/>
          <w:color w:val="auto"/>
          <w:lang w:eastAsia="zh-CN"/>
        </w:rPr>
        <w:t>、</w:t>
      </w:r>
      <w:r>
        <w:rPr>
          <w:rFonts w:hint="eastAsia"/>
          <w:color w:val="auto"/>
        </w:rPr>
        <w:t>廖伟伶</w:t>
      </w:r>
      <w:r>
        <w:rPr>
          <w:rFonts w:hint="eastAsia"/>
          <w:color w:val="auto"/>
          <w:lang w:eastAsia="zh-CN"/>
        </w:rPr>
        <w:t>、</w:t>
      </w:r>
      <w:r>
        <w:rPr>
          <w:rFonts w:hint="eastAsia"/>
          <w:color w:val="auto"/>
        </w:rPr>
        <w:t>余义昌</w:t>
      </w:r>
      <w:r>
        <w:rPr>
          <w:rFonts w:hint="eastAsia"/>
          <w:color w:val="auto"/>
          <w:lang w:eastAsia="zh-CN"/>
        </w:rPr>
        <w:t>、</w:t>
      </w:r>
      <w:r>
        <w:rPr>
          <w:rFonts w:hint="eastAsia"/>
          <w:color w:val="auto"/>
        </w:rPr>
        <w:t>陈婷婷</w:t>
      </w:r>
      <w:r>
        <w:rPr>
          <w:rFonts w:hint="eastAsia"/>
          <w:color w:val="auto"/>
          <w:lang w:eastAsia="zh-CN"/>
        </w:rPr>
        <w:t>、</w:t>
      </w:r>
      <w:r>
        <w:rPr>
          <w:rFonts w:hint="eastAsia"/>
          <w:color w:val="auto"/>
        </w:rPr>
        <w:t>唐嘉</w:t>
      </w:r>
      <w:r>
        <w:rPr>
          <w:rFonts w:hint="eastAsia"/>
          <w:color w:val="auto"/>
          <w:lang w:eastAsia="zh-CN"/>
        </w:rPr>
        <w:t>、</w:t>
      </w:r>
      <w:r>
        <w:rPr>
          <w:rFonts w:hint="eastAsia"/>
          <w:color w:val="auto"/>
        </w:rPr>
        <w:t>陈爱玲</w:t>
      </w:r>
      <w:r>
        <w:rPr>
          <w:rFonts w:hint="eastAsia"/>
          <w:color w:val="auto"/>
          <w:lang w:eastAsia="zh-CN"/>
        </w:rPr>
        <w:t>、李</w:t>
      </w:r>
      <w:r>
        <w:rPr>
          <w:rFonts w:hint="eastAsia"/>
          <w:color w:val="auto"/>
          <w:lang w:val="en-US" w:eastAsia="zh-CN"/>
        </w:rPr>
        <w:t>子末、</w:t>
      </w:r>
      <w:r>
        <w:rPr>
          <w:rFonts w:hint="eastAsia"/>
          <w:color w:val="auto"/>
        </w:rPr>
        <w:t>封雷</w:t>
      </w:r>
      <w:r>
        <w:rPr>
          <w:rFonts w:hint="eastAsia"/>
          <w:color w:val="auto"/>
          <w:lang w:eastAsia="zh-CN"/>
        </w:rPr>
        <w:t>、</w:t>
      </w:r>
      <w:r>
        <w:rPr>
          <w:rFonts w:hint="eastAsia"/>
          <w:color w:val="auto"/>
          <w:lang w:val="en-US" w:eastAsia="zh-CN"/>
        </w:rPr>
        <w:t>周博天、王瑶、赵艳民、王丽婧、李虹</w:t>
      </w:r>
      <w:r>
        <w:rPr>
          <w:color w:val="auto"/>
        </w:rPr>
        <w:t>。</w:t>
      </w:r>
    </w:p>
    <w:bookmarkEnd w:id="77"/>
    <w:p w14:paraId="028DBCF6">
      <w:pPr>
        <w:pStyle w:val="57"/>
        <w:ind w:firstLine="420"/>
      </w:pPr>
    </w:p>
    <w:p w14:paraId="77813D18">
      <w:pPr>
        <w:pStyle w:val="57"/>
        <w:ind w:firstLine="420"/>
      </w:pPr>
    </w:p>
    <w:p w14:paraId="079AB548"/>
    <w:p w14:paraId="28B3D147"/>
    <w:p w14:paraId="1236975E"/>
    <w:p w14:paraId="30BA038C"/>
    <w:p w14:paraId="4FC55CD8"/>
    <w:p w14:paraId="2D6C28B7"/>
    <w:p w14:paraId="4C9DC7F7"/>
    <w:p w14:paraId="7E02CFEB"/>
    <w:p w14:paraId="1593B547"/>
    <w:p w14:paraId="71554967"/>
    <w:p w14:paraId="121F9F84"/>
    <w:p w14:paraId="7D3D49CD"/>
    <w:p w14:paraId="0664E856">
      <w:pPr>
        <w:jc w:val="center"/>
        <w:rPr>
          <w:rFonts w:ascii="Times New Roman" w:hAnsi="Times New Roman"/>
          <w:kern w:val="0"/>
          <w:szCs w:val="20"/>
        </w:rPr>
      </w:pPr>
    </w:p>
    <w:p w14:paraId="1296D5CE">
      <w:pPr>
        <w:tabs>
          <w:tab w:val="center" w:pos="4677"/>
        </w:tabs>
        <w:sectPr>
          <w:headerReference r:id="rId13" w:type="default"/>
          <w:footerReference r:id="rId15" w:type="default"/>
          <w:headerReference r:id="rId14" w:type="even"/>
          <w:footerReference r:id="rId16" w:type="even"/>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linePitch="312" w:charSpace="0"/>
        </w:sectPr>
      </w:pPr>
      <w:r>
        <w:tab/>
      </w:r>
    </w:p>
    <w:bookmarkEnd w:id="22"/>
    <w:p w14:paraId="3F94E84D">
      <w:pPr>
        <w:spacing w:line="20" w:lineRule="exact"/>
        <w:jc w:val="center"/>
        <w:rPr>
          <w:rFonts w:ascii="Times New Roman" w:hAnsi="Times New Roman" w:eastAsia="黑体"/>
          <w:sz w:val="32"/>
          <w:szCs w:val="32"/>
        </w:rPr>
      </w:pPr>
      <w:bookmarkStart w:id="23" w:name="BookMark4"/>
    </w:p>
    <w:sdt>
      <w:sdtPr>
        <w:rPr>
          <w:rFonts w:ascii="Times New Roman" w:hAnsi="Times New Roman"/>
        </w:rPr>
        <w:tag w:val="NEW_STAND_NAME"/>
        <w:id w:val="595910757"/>
        <w:lock w:val="sdtLocked"/>
        <w:placeholder>
          <w:docPart w:val="9B3BEDB4F2724F9D81F4444A5CCE266D"/>
        </w:placeholder>
      </w:sdtPr>
      <w:sdtEndPr>
        <w:rPr>
          <w:rFonts w:ascii="Times New Roman" w:hAnsi="Times New Roman"/>
        </w:rPr>
      </w:sdtEndPr>
      <w:sdtContent>
        <w:p w14:paraId="418BD2CA">
          <w:pPr>
            <w:pStyle w:val="178"/>
            <w:spacing w:before="240" w:beforeLines="100" w:after="2" w:afterLines="1"/>
            <w:rPr>
              <w:rFonts w:ascii="Times New Roman" w:hAnsi="Times New Roman"/>
            </w:rPr>
          </w:pPr>
          <w:bookmarkStart w:id="24" w:name="NEW_STAND_NAME"/>
          <w:r>
            <w:rPr>
              <w:rFonts w:ascii="Times New Roman" w:hAnsi="Times New Roman"/>
            </w:rPr>
            <w:t>城市深水湖库富营养化地基高光谱遥感监测技术指南</w:t>
          </w:r>
        </w:p>
      </w:sdtContent>
    </w:sdt>
    <w:bookmarkEnd w:id="24"/>
    <w:p w14:paraId="16BB6ACB">
      <w:pPr>
        <w:pStyle w:val="105"/>
        <w:spacing w:before="240" w:after="240"/>
        <w:rPr>
          <w:rFonts w:ascii="Times New Roman"/>
        </w:rPr>
      </w:pPr>
      <w:bookmarkStart w:id="25" w:name="_Toc26986771"/>
      <w:bookmarkStart w:id="26" w:name="_Toc24884218"/>
      <w:bookmarkStart w:id="27" w:name="_Toc26986530"/>
      <w:bookmarkStart w:id="28" w:name="_Toc26648465"/>
      <w:bookmarkStart w:id="29" w:name="_Toc97192964"/>
      <w:bookmarkStart w:id="30" w:name="_Toc32587"/>
      <w:bookmarkStart w:id="31" w:name="_Toc26718930"/>
      <w:bookmarkStart w:id="32" w:name="_Toc17233325"/>
      <w:bookmarkStart w:id="33" w:name="_Toc17233333"/>
      <w:bookmarkStart w:id="34" w:name="_Toc24884211"/>
      <w:r>
        <w:rPr>
          <w:rFonts w:ascii="Times New Roman"/>
        </w:rPr>
        <w:t>范围</w:t>
      </w:r>
      <w:bookmarkEnd w:id="25"/>
      <w:bookmarkEnd w:id="26"/>
      <w:bookmarkEnd w:id="27"/>
      <w:bookmarkEnd w:id="28"/>
      <w:bookmarkEnd w:id="29"/>
      <w:bookmarkEnd w:id="30"/>
      <w:bookmarkEnd w:id="31"/>
      <w:bookmarkEnd w:id="32"/>
      <w:bookmarkEnd w:id="33"/>
      <w:bookmarkEnd w:id="34"/>
    </w:p>
    <w:p w14:paraId="2EFCA605">
      <w:pPr>
        <w:pStyle w:val="57"/>
        <w:ind w:firstLine="420"/>
      </w:pPr>
      <w:bookmarkStart w:id="35" w:name="_Toc17233326"/>
      <w:bookmarkStart w:id="36" w:name="_Toc24884212"/>
      <w:bookmarkStart w:id="37" w:name="_Toc26648466"/>
      <w:bookmarkStart w:id="38" w:name="_Toc17233334"/>
      <w:bookmarkStart w:id="39" w:name="_Toc24884219"/>
      <w:r>
        <w:t>本文件规定了适用于城市深水湖库富营养化地基高光谱遥感监测的技术原理、设备要求、监测流程、数据处理及质量保障，适用于富营养化关键指标（叶绿素a、藻密度、总磷、总氮等）的实时动态监测与预警。</w:t>
      </w:r>
    </w:p>
    <w:p w14:paraId="2D79E81B">
      <w:pPr>
        <w:pStyle w:val="105"/>
        <w:spacing w:before="240" w:after="240"/>
        <w:rPr>
          <w:rFonts w:ascii="Times New Roman"/>
        </w:rPr>
      </w:pPr>
      <w:bookmarkStart w:id="40" w:name="_Toc97192965"/>
      <w:bookmarkStart w:id="41" w:name="_Toc26986772"/>
      <w:bookmarkStart w:id="42" w:name="_Toc26986531"/>
      <w:bookmarkStart w:id="43" w:name="_Toc26718931"/>
      <w:bookmarkStart w:id="44" w:name="_Toc3596"/>
      <w:r>
        <w:rPr>
          <w:rFonts w:ascii="Times New Roman"/>
        </w:rPr>
        <w:t>规范性引用文件</w:t>
      </w:r>
      <w:bookmarkEnd w:id="35"/>
      <w:bookmarkEnd w:id="36"/>
      <w:bookmarkEnd w:id="37"/>
      <w:bookmarkEnd w:id="38"/>
      <w:bookmarkEnd w:id="39"/>
      <w:bookmarkEnd w:id="40"/>
      <w:bookmarkEnd w:id="41"/>
      <w:bookmarkEnd w:id="42"/>
      <w:bookmarkEnd w:id="43"/>
      <w:bookmarkEnd w:id="44"/>
    </w:p>
    <w:sdt>
      <w:sdtPr>
        <w:id w:val="715848253"/>
        <w:placeholder>
          <w:docPart w:val="78956B8278AF41489B4C226600D2E8C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8CA28EE">
          <w:pPr>
            <w:pStyle w:val="57"/>
            <w:ind w:firstLine="420"/>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90F320">
      <w:pPr>
        <w:pStyle w:val="57"/>
        <w:ind w:firstLine="420"/>
      </w:pPr>
      <w:r>
        <w:t>GB 3838  地表水环境质量标准</w:t>
      </w:r>
    </w:p>
    <w:p w14:paraId="59CBE319">
      <w:pPr>
        <w:pStyle w:val="57"/>
        <w:ind w:firstLine="420"/>
      </w:pPr>
      <w:r>
        <w:t>GB 8978  污水综合排放标准</w:t>
      </w:r>
    </w:p>
    <w:p w14:paraId="7DD41311">
      <w:pPr>
        <w:pStyle w:val="57"/>
        <w:ind w:firstLine="420"/>
      </w:pPr>
      <w:r>
        <w:t>GB/T 43238  中国遥感卫星辐射矫正场外场试验要求 通则</w:t>
      </w:r>
    </w:p>
    <w:p w14:paraId="4BEC5CF9">
      <w:pPr>
        <w:pStyle w:val="57"/>
        <w:ind w:firstLine="420"/>
      </w:pPr>
      <w:r>
        <w:t>GB/T 11893  总磷水质自动分析仪技术要求</w:t>
      </w:r>
    </w:p>
    <w:p w14:paraId="45B7A894">
      <w:pPr>
        <w:pStyle w:val="57"/>
        <w:ind w:firstLine="420"/>
      </w:pPr>
      <w:r>
        <w:t>GB/T 11894  总氮水质自动分析仪技术要求</w:t>
      </w:r>
    </w:p>
    <w:p w14:paraId="31CB13BA">
      <w:pPr>
        <w:pStyle w:val="57"/>
        <w:ind w:firstLine="420"/>
      </w:pPr>
      <w:r>
        <w:t>GB/T 31916.1  信息技术 云数据存储和管理 第1部分：总则</w:t>
      </w:r>
    </w:p>
    <w:p w14:paraId="56C097DE">
      <w:pPr>
        <w:pStyle w:val="57"/>
        <w:ind w:firstLine="420"/>
      </w:pPr>
      <w:r>
        <w:t>GB/T 36299  光学遥感辐射传输基本术语</w:t>
      </w:r>
    </w:p>
    <w:p w14:paraId="358EFC8F">
      <w:pPr>
        <w:pStyle w:val="57"/>
        <w:ind w:firstLine="420"/>
      </w:pPr>
      <w:r>
        <w:t>GB/T 36540  水体可见光－短波红外光谱反射率测量</w:t>
      </w:r>
    </w:p>
    <w:p w14:paraId="497BDCC8">
      <w:pPr>
        <w:pStyle w:val="57"/>
        <w:ind w:firstLine="420"/>
      </w:pPr>
      <w:r>
        <w:t>GB/T 40139  材料表面积的测量 光谱成像三维面积测量法</w:t>
      </w:r>
    </w:p>
    <w:p w14:paraId="2FD1AE89">
      <w:pPr>
        <w:pStyle w:val="57"/>
        <w:ind w:firstLine="420"/>
      </w:pPr>
      <w:r>
        <w:t>HJ/T98  浊度水质自动分析仪技术要求</w:t>
      </w:r>
    </w:p>
    <w:p w14:paraId="1A219B5C">
      <w:pPr>
        <w:pStyle w:val="57"/>
        <w:ind w:firstLine="420"/>
      </w:pPr>
      <w:r>
        <w:t>HJ/T99  溶解氧（DO）水质自动分析仪技术要求</w:t>
      </w:r>
    </w:p>
    <w:p w14:paraId="1651C6E1">
      <w:pPr>
        <w:pStyle w:val="57"/>
        <w:ind w:firstLine="420"/>
      </w:pPr>
      <w:r>
        <w:t>HJ/T100  高锰酸盐指数水质自动分析仪技术要求</w:t>
      </w:r>
    </w:p>
    <w:p w14:paraId="5A4770E4">
      <w:pPr>
        <w:pStyle w:val="57"/>
        <w:ind w:firstLine="420"/>
      </w:pPr>
      <w:r>
        <w:t>HJ/T101  氨氮水质自动分析仪技术要求</w:t>
      </w:r>
    </w:p>
    <w:p w14:paraId="01C2BBCA">
      <w:pPr>
        <w:pStyle w:val="57"/>
        <w:ind w:firstLine="420"/>
      </w:pPr>
      <w:r>
        <w:t>HJ 897  水质叶绿素a的测定分光光度法</w:t>
      </w:r>
    </w:p>
    <w:p w14:paraId="26AAE982">
      <w:pPr>
        <w:pStyle w:val="57"/>
        <w:ind w:firstLine="420"/>
      </w:pPr>
      <w:r>
        <w:t>HJ 1098  水华遥感与地面监测评价技术规范（试行）</w:t>
      </w:r>
    </w:p>
    <w:p w14:paraId="05CCF1C1">
      <w:pPr>
        <w:pStyle w:val="57"/>
        <w:ind w:firstLine="420"/>
      </w:pPr>
      <w:r>
        <w:t>DL/T 5161.6  接地装置施工质量检验</w:t>
      </w:r>
    </w:p>
    <w:p w14:paraId="22633535">
      <w:pPr>
        <w:pStyle w:val="105"/>
        <w:spacing w:before="240" w:after="240"/>
        <w:rPr>
          <w:rFonts w:ascii="Times New Roman"/>
        </w:rPr>
      </w:pPr>
      <w:bookmarkStart w:id="45" w:name="_Toc97192966"/>
      <w:bookmarkStart w:id="46" w:name="_Toc6866"/>
      <w:r>
        <w:rPr>
          <w:rFonts w:ascii="Times New Roman"/>
          <w:szCs w:val="21"/>
        </w:rPr>
        <w:t>术语和定义</w:t>
      </w:r>
      <w:bookmarkEnd w:id="45"/>
      <w:bookmarkEnd w:id="46"/>
    </w:p>
    <w:sdt>
      <w:sdtPr>
        <w:id w:val="-1909835108"/>
        <w:placeholder>
          <w:docPart w:val="DD487E154D8B46B1811108614A11313A"/>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FCFFA7">
          <w:pPr>
            <w:pStyle w:val="57"/>
            <w:ind w:firstLine="420"/>
          </w:pPr>
          <w:bookmarkStart w:id="47" w:name="_Toc26986532"/>
          <w:bookmarkEnd w:id="47"/>
          <w:r>
            <w:t>下列术语和定义适用于本文件。</w:t>
          </w:r>
        </w:p>
      </w:sdtContent>
    </w:sdt>
    <w:p w14:paraId="4EE89BDC">
      <w:pPr>
        <w:pStyle w:val="224"/>
        <w:ind w:left="420" w:hanging="420" w:hangingChars="200"/>
        <w:rPr>
          <w:rFonts w:ascii="Times New Roman" w:eastAsia="黑体"/>
        </w:rPr>
      </w:pPr>
      <w:r>
        <w:rPr>
          <w:rFonts w:ascii="Times New Roman" w:eastAsia="黑体"/>
        </w:rPr>
        <w:br w:type="textWrapping"/>
      </w:r>
      <w:r>
        <w:rPr>
          <w:rFonts w:ascii="Times New Roman" w:eastAsia="黑体"/>
        </w:rPr>
        <w:t>城市深水湖库  deep reservoir</w:t>
      </w:r>
    </w:p>
    <w:p w14:paraId="4CB019DE">
      <w:pPr>
        <w:pStyle w:val="57"/>
        <w:ind w:firstLine="420"/>
      </w:pPr>
      <w:r>
        <w:t>通常是指在城市建成区范围内或紧邻城市周边，具有显著深度（通常水深较大的天然湖泊或人工水库），通常认为其平均水深或最大水深显著大于一般的城市浅水湖泊或湿地，通常认为最大水深超过3 m就具备了城市深水湖库的特征。</w:t>
      </w:r>
    </w:p>
    <w:p w14:paraId="1ADD366A">
      <w:pPr>
        <w:pStyle w:val="224"/>
        <w:ind w:left="420" w:hanging="420" w:hangingChars="200"/>
        <w:rPr>
          <w:rFonts w:ascii="Times New Roman" w:eastAsia="黑体"/>
        </w:rPr>
      </w:pPr>
      <w:r>
        <w:rPr>
          <w:rFonts w:ascii="Times New Roman" w:eastAsia="黑体"/>
        </w:rPr>
        <w:br w:type="textWrapping"/>
      </w:r>
      <w:r>
        <w:rPr>
          <w:rFonts w:ascii="Times New Roman" w:eastAsia="黑体"/>
        </w:rPr>
        <w:t>地基遥感  ground-based remote sensing</w:t>
      </w:r>
    </w:p>
    <w:p w14:paraId="337D2F0A">
      <w:pPr>
        <w:pStyle w:val="57"/>
        <w:ind w:firstLine="420"/>
      </w:pPr>
      <w:r>
        <w:t>通常指基于陆域开展的遥感观测活动，利用近地面光谱传感器设备，收集土壤、水体、植被等物体表征信息。</w:t>
      </w:r>
    </w:p>
    <w:p w14:paraId="648264C1">
      <w:pPr>
        <w:pStyle w:val="224"/>
        <w:ind w:left="420" w:hanging="420" w:hangingChars="200"/>
        <w:rPr>
          <w:rFonts w:ascii="Times New Roman" w:eastAsia="黑体"/>
        </w:rPr>
      </w:pPr>
      <w:r>
        <w:rPr>
          <w:rFonts w:ascii="Times New Roman" w:eastAsia="黑体"/>
        </w:rPr>
        <w:br w:type="textWrapping"/>
      </w:r>
      <w:r>
        <w:rPr>
          <w:rFonts w:ascii="Times New Roman" w:eastAsia="黑体"/>
        </w:rPr>
        <w:t>高光谱  hyperspectral</w:t>
      </w:r>
    </w:p>
    <w:p w14:paraId="79601CF2">
      <w:pPr>
        <w:pStyle w:val="57"/>
        <w:ind w:firstLine="420"/>
      </w:pPr>
      <w:r>
        <w:t>即高光谱分辨率，光谱分辨率达纳米（nm）数量级，光谱通道数达数十至数千个以上，获取物体反射/散射的连续光谱数据，波段可覆盖可见光、近红外、红外波段。</w:t>
      </w:r>
    </w:p>
    <w:p w14:paraId="77437223">
      <w:pPr>
        <w:pStyle w:val="224"/>
        <w:ind w:left="420" w:hanging="420" w:hangingChars="200"/>
        <w:rPr>
          <w:rFonts w:ascii="Times New Roman" w:eastAsia="黑体"/>
        </w:rPr>
      </w:pPr>
      <w:r>
        <w:rPr>
          <w:rFonts w:ascii="Times New Roman" w:eastAsia="黑体"/>
        </w:rPr>
        <w:br w:type="textWrapping"/>
      </w:r>
      <w:r>
        <w:rPr>
          <w:rFonts w:ascii="Times New Roman" w:eastAsia="黑体"/>
        </w:rPr>
        <w:t>高光谱成像  hyperspectral imaging</w:t>
      </w:r>
    </w:p>
    <w:p w14:paraId="717E9D3A">
      <w:pPr>
        <w:pStyle w:val="57"/>
        <w:ind w:firstLine="420"/>
      </w:pPr>
      <w:r>
        <w:t>将成像技术和光谱技术相结合，探测目标的二维空间和光谱信息，获得高分辨率的连续、窄波段的图像数据。</w:t>
      </w:r>
    </w:p>
    <w:p w14:paraId="2162A54B">
      <w:pPr>
        <w:pStyle w:val="224"/>
        <w:ind w:left="420" w:hanging="420" w:hangingChars="200"/>
        <w:rPr>
          <w:rFonts w:ascii="Times New Roman" w:eastAsia="黑体"/>
        </w:rPr>
      </w:pPr>
      <w:r>
        <w:rPr>
          <w:rFonts w:ascii="Times New Roman" w:eastAsia="黑体"/>
        </w:rPr>
        <w:br w:type="textWrapping"/>
      </w:r>
      <w:r>
        <w:rPr>
          <w:rFonts w:ascii="Times New Roman" w:eastAsia="黑体"/>
        </w:rPr>
        <w:t>反射率  reflectance</w:t>
      </w:r>
    </w:p>
    <w:p w14:paraId="606C0563">
      <w:pPr>
        <w:pStyle w:val="57"/>
        <w:ind w:firstLine="420"/>
      </w:pPr>
      <w:r>
        <w:t>物体反射的辐射通量与入射的辐射通量之比。</w:t>
      </w:r>
    </w:p>
    <w:p w14:paraId="2B178A52">
      <w:pPr>
        <w:pStyle w:val="224"/>
        <w:ind w:left="420" w:hanging="420" w:hangingChars="200"/>
        <w:rPr>
          <w:rFonts w:ascii="Times New Roman" w:eastAsia="黑体"/>
        </w:rPr>
      </w:pPr>
      <w:r>
        <w:rPr>
          <w:rFonts w:ascii="Times New Roman" w:eastAsia="黑体"/>
        </w:rPr>
        <w:br w:type="textWrapping"/>
      </w:r>
      <w:r>
        <w:rPr>
          <w:rFonts w:ascii="Times New Roman" w:eastAsia="黑体"/>
        </w:rPr>
        <w:t>可见光近红外波段  visible and near infrared waveband</w:t>
      </w:r>
    </w:p>
    <w:p w14:paraId="41224015">
      <w:pPr>
        <w:pStyle w:val="57"/>
        <w:ind w:firstLine="420"/>
      </w:pPr>
      <w:r>
        <w:t>波长在380-3000 nm之间的电磁波范围。</w:t>
      </w:r>
    </w:p>
    <w:p w14:paraId="5A014CBB">
      <w:pPr>
        <w:pStyle w:val="224"/>
        <w:ind w:left="420" w:hanging="420" w:hangingChars="200"/>
        <w:rPr>
          <w:rFonts w:ascii="Times New Roman" w:eastAsia="黑体"/>
        </w:rPr>
      </w:pPr>
      <w:r>
        <w:rPr>
          <w:rFonts w:ascii="Times New Roman" w:eastAsia="黑体"/>
        </w:rPr>
        <w:br w:type="textWrapping"/>
      </w:r>
      <w:r>
        <w:rPr>
          <w:rFonts w:ascii="Times New Roman" w:eastAsia="黑体"/>
        </w:rPr>
        <w:t>定量反演  quantitative inversion</w:t>
      </w:r>
    </w:p>
    <w:p w14:paraId="7EE9795F">
      <w:pPr>
        <w:pStyle w:val="57"/>
        <w:ind w:firstLine="420"/>
      </w:pPr>
      <w:r>
        <w:t>定量反演是一种利用统计或机理等数学模型和算法，将遥感观测数据转化为定量的地物或地表参数的过程。</w:t>
      </w:r>
    </w:p>
    <w:p w14:paraId="5DE230BD">
      <w:pPr>
        <w:pStyle w:val="224"/>
        <w:ind w:left="420" w:hanging="420" w:hangingChars="200"/>
        <w:rPr>
          <w:rFonts w:ascii="Times New Roman" w:eastAsia="黑体"/>
        </w:rPr>
      </w:pPr>
      <w:r>
        <w:rPr>
          <w:rFonts w:ascii="Times New Roman" w:eastAsia="黑体"/>
        </w:rPr>
        <w:br w:type="textWrapping"/>
      </w:r>
      <w:r>
        <w:rPr>
          <w:rFonts w:ascii="Times New Roman" w:eastAsia="黑体"/>
        </w:rPr>
        <w:t>特征波段  characteristic band</w:t>
      </w:r>
    </w:p>
    <w:p w14:paraId="4974ACFC">
      <w:pPr>
        <w:pStyle w:val="57"/>
        <w:ind w:firstLine="420"/>
      </w:pPr>
      <w:r>
        <w:t>特征波段是指在光谱曲线中，与目标物质或环境参数（如水质参数）具有显著关联的特定波长范围。这些波段能够反映物质的特定吸收或反射特性，对特定目标参数的定量反演具有较高的敏感性。</w:t>
      </w:r>
    </w:p>
    <w:p w14:paraId="1C1D0FB9">
      <w:pPr>
        <w:pStyle w:val="224"/>
        <w:ind w:left="420" w:hanging="420" w:hangingChars="200"/>
        <w:rPr>
          <w:rFonts w:ascii="Times New Roman" w:eastAsia="黑体"/>
        </w:rPr>
      </w:pPr>
      <w:r>
        <w:rPr>
          <w:rFonts w:ascii="Times New Roman" w:eastAsia="黑体"/>
        </w:rPr>
        <w:br w:type="textWrapping"/>
      </w:r>
      <w:r>
        <w:rPr>
          <w:rFonts w:ascii="Times New Roman" w:eastAsia="黑体"/>
        </w:rPr>
        <w:t xml:space="preserve">富营养化关键参数  </w:t>
      </w:r>
      <w:r>
        <w:rPr>
          <w:rFonts w:hint="eastAsia" w:ascii="Times New Roman" w:eastAsia="黑体"/>
          <w:lang w:val="en-US" w:eastAsia="zh-CN"/>
        </w:rPr>
        <w:t>k</w:t>
      </w:r>
      <w:r>
        <w:rPr>
          <w:rFonts w:ascii="Times New Roman" w:eastAsia="黑体"/>
        </w:rPr>
        <w:t>ey parameters</w:t>
      </w:r>
    </w:p>
    <w:p w14:paraId="21F0ED52">
      <w:pPr>
        <w:pStyle w:val="57"/>
        <w:ind w:firstLine="420"/>
      </w:pPr>
      <w:r>
        <w:t>叶绿素a（Chl-a）、总磷（TP）、总氮（TN）、透明度（SD）、高锰酸盐指数（COD</w:t>
      </w:r>
      <w:r>
        <w:rPr>
          <w:vertAlign w:val="subscript"/>
        </w:rPr>
        <w:t>Mn</w:t>
      </w:r>
      <w:r>
        <w:t>）5项。</w:t>
      </w:r>
    </w:p>
    <w:p w14:paraId="32CD36B6">
      <w:pPr>
        <w:pStyle w:val="105"/>
        <w:spacing w:before="240" w:after="240"/>
        <w:rPr>
          <w:rFonts w:ascii="Times New Roman"/>
        </w:rPr>
      </w:pPr>
      <w:bookmarkStart w:id="48" w:name="_Toc19664"/>
      <w:r>
        <w:rPr>
          <w:rFonts w:ascii="Times New Roman"/>
        </w:rPr>
        <w:t>技术路线</w:t>
      </w:r>
      <w:bookmarkEnd w:id="48"/>
    </w:p>
    <w:p w14:paraId="05B8A861">
      <w:pPr>
        <w:pStyle w:val="57"/>
        <w:ind w:firstLine="420"/>
      </w:pPr>
      <w:r>
        <w:t>水环境地基高光谱遥感在线监测技术通过近岸光谱监测设备，采用高光谱传感器获取特定水体吸收、反射和散射光谱数据，利用特征波段识别与定量反演算法，实现水质富营养化关键参数的在线监测。其地基高光谱水质监测流程如图1所示。</w:t>
      </w:r>
    </w:p>
    <w:p w14:paraId="182056ED">
      <w:pPr>
        <w:pStyle w:val="57"/>
        <w:ind w:firstLine="420"/>
      </w:pPr>
      <w:r>
        <w:drawing>
          <wp:inline distT="0" distB="0" distL="114300" distR="114300">
            <wp:extent cx="5274310" cy="631825"/>
            <wp:effectExtent l="0" t="0" r="1397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4"/>
                    <a:stretch>
                      <a:fillRect/>
                    </a:stretch>
                  </pic:blipFill>
                  <pic:spPr>
                    <a:xfrm>
                      <a:off x="0" y="0"/>
                      <a:ext cx="5274310" cy="631825"/>
                    </a:xfrm>
                    <a:prstGeom prst="rect">
                      <a:avLst/>
                    </a:prstGeom>
                    <a:noFill/>
                    <a:ln>
                      <a:noFill/>
                    </a:ln>
                  </pic:spPr>
                </pic:pic>
              </a:graphicData>
            </a:graphic>
          </wp:inline>
        </w:drawing>
      </w:r>
    </w:p>
    <w:p w14:paraId="2BB372BA">
      <w:pPr>
        <w:pStyle w:val="115"/>
        <w:spacing w:before="120" w:after="120"/>
        <w:rPr>
          <w:rFonts w:ascii="Times New Roman"/>
        </w:rPr>
      </w:pPr>
      <w:r>
        <w:rPr>
          <w:rFonts w:ascii="Times New Roman"/>
        </w:rPr>
        <w:t>地基高光谱水质监测流程</w:t>
      </w:r>
    </w:p>
    <w:p w14:paraId="1E451EFE">
      <w:pPr>
        <w:pStyle w:val="57"/>
        <w:ind w:firstLine="420"/>
      </w:pPr>
      <w:r>
        <w:t>地基高光谱富营养化检测系统包含数据采集、光谱处理、参数反演、TLI指数计算等模块，其技术路线如图2所示，满足多水质参数同步监测和富营养化评估需求。</w:t>
      </w:r>
    </w:p>
    <w:p w14:paraId="5CC2AC72">
      <w:pPr>
        <w:pStyle w:val="57"/>
        <w:ind w:firstLine="420"/>
      </w:pPr>
      <w:r>
        <w:drawing>
          <wp:inline distT="0" distB="0" distL="114300" distR="114300">
            <wp:extent cx="4990465" cy="2689860"/>
            <wp:effectExtent l="0" t="0" r="8255" b="76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5"/>
                    <a:stretch>
                      <a:fillRect/>
                    </a:stretch>
                  </pic:blipFill>
                  <pic:spPr>
                    <a:xfrm>
                      <a:off x="0" y="0"/>
                      <a:ext cx="4990465" cy="2689860"/>
                    </a:xfrm>
                    <a:prstGeom prst="rect">
                      <a:avLst/>
                    </a:prstGeom>
                    <a:noFill/>
                    <a:ln>
                      <a:noFill/>
                    </a:ln>
                  </pic:spPr>
                </pic:pic>
              </a:graphicData>
            </a:graphic>
          </wp:inline>
        </w:drawing>
      </w:r>
    </w:p>
    <w:p w14:paraId="335E77C4">
      <w:pPr>
        <w:pStyle w:val="115"/>
        <w:spacing w:before="120" w:after="120"/>
        <w:rPr>
          <w:rFonts w:ascii="Times New Roman"/>
        </w:rPr>
      </w:pPr>
      <w:r>
        <w:rPr>
          <w:rFonts w:ascii="Times New Roman"/>
        </w:rPr>
        <w:t>富营养化地基高光谱监测技术路线</w:t>
      </w:r>
    </w:p>
    <w:p w14:paraId="4A2578B0">
      <w:pPr>
        <w:pStyle w:val="105"/>
        <w:spacing w:before="240" w:after="240"/>
        <w:rPr>
          <w:rFonts w:ascii="Times New Roman"/>
        </w:rPr>
      </w:pPr>
      <w:bookmarkStart w:id="49" w:name="_Toc25490"/>
      <w:r>
        <w:rPr>
          <w:rFonts w:ascii="Times New Roman"/>
        </w:rPr>
        <w:t>技术要求</w:t>
      </w:r>
      <w:bookmarkEnd w:id="49"/>
    </w:p>
    <w:p w14:paraId="1A93D3A7">
      <w:pPr>
        <w:pStyle w:val="57"/>
        <w:ind w:firstLine="420"/>
      </w:pPr>
      <w:r>
        <w:t>城市深水湖库富营养化地基高光谱监测系统通过集成高光谱采集模块和自动化控制技术，实现对水体水质参数的在线监测。系统应该具备以下功能：</w:t>
      </w:r>
    </w:p>
    <w:p w14:paraId="342B6DBC">
      <w:pPr>
        <w:pStyle w:val="57"/>
        <w:ind w:firstLine="420"/>
      </w:pPr>
      <w:bookmarkStart w:id="50" w:name="_Toc24447"/>
      <w:r>
        <w:t>（1）主动式抽样及液位监测</w:t>
      </w:r>
      <w:bookmarkEnd w:id="50"/>
    </w:p>
    <w:p w14:paraId="011D8464">
      <w:pPr>
        <w:pStyle w:val="57"/>
        <w:ind w:firstLine="420"/>
      </w:pPr>
      <w:r>
        <w:t>地基高光谱水环境监测装备具备主动式抽样功能，实时监测设备内部液位，确保液位处于光谱传感模组的响应范围内。</w:t>
      </w:r>
    </w:p>
    <w:p w14:paraId="646CA18E">
      <w:pPr>
        <w:pStyle w:val="57"/>
        <w:ind w:firstLine="420"/>
      </w:pPr>
      <w:bookmarkStart w:id="51" w:name="_Toc8935"/>
      <w:r>
        <w:t>（2）水体光谱反射率测量及处理</w:t>
      </w:r>
      <w:bookmarkEnd w:id="51"/>
    </w:p>
    <w:p w14:paraId="367EAB64">
      <w:pPr>
        <w:pStyle w:val="57"/>
        <w:ind w:firstLine="420"/>
      </w:pPr>
      <w:r>
        <w:t>地基高光谱水体反射率测量应按照GB/T 36540的有关规定执行。地基高光谱水环境监测装备采用光谱重构技术消除杂散光干扰，在400-1000 nm波段范围内产生连续的光谱响应输出，确保优良的重复性、灵敏性和一致性。</w:t>
      </w:r>
    </w:p>
    <w:p w14:paraId="3481E25C">
      <w:pPr>
        <w:pStyle w:val="57"/>
        <w:ind w:firstLine="420"/>
      </w:pPr>
      <w:r>
        <w:t>（3）水质参数反演</w:t>
      </w:r>
    </w:p>
    <w:p w14:paraId="75D5C4C0">
      <w:pPr>
        <w:pStyle w:val="57"/>
        <w:ind w:firstLine="420"/>
      </w:pPr>
      <w:r>
        <w:t>地基高光谱水环境监测设备应当具备至少以下7种水质参数指标的反演功能并能够进行反演算法的自动更新迭代。</w:t>
      </w:r>
    </w:p>
    <w:p w14:paraId="24E9F815">
      <w:pPr>
        <w:pStyle w:val="113"/>
        <w:spacing w:before="120" w:after="120"/>
        <w:rPr>
          <w:rFonts w:ascii="Times New Roman"/>
        </w:rPr>
      </w:pPr>
      <w:r>
        <w:rPr>
          <w:rFonts w:ascii="Times New Roman"/>
        </w:rPr>
        <w:t>水质参数指标与测量范围及精度要求</w:t>
      </w:r>
    </w:p>
    <w:tbl>
      <w:tblPr>
        <w:tblStyle w:val="28"/>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55"/>
        <w:gridCol w:w="3696"/>
        <w:gridCol w:w="1899"/>
        <w:gridCol w:w="2580"/>
      </w:tblGrid>
      <w:tr w14:paraId="30A4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Borders>
              <w:bottom w:val="single" w:color="auto" w:sz="8" w:space="0"/>
            </w:tcBorders>
            <w:vAlign w:val="center"/>
          </w:tcPr>
          <w:p w14:paraId="3EDEFAB2">
            <w:pPr>
              <w:pStyle w:val="179"/>
            </w:pPr>
            <w:r>
              <w:t>序号</w:t>
            </w:r>
          </w:p>
        </w:tc>
        <w:tc>
          <w:tcPr>
            <w:tcW w:w="1980" w:type="pct"/>
            <w:tcBorders>
              <w:bottom w:val="single" w:color="auto" w:sz="8" w:space="0"/>
            </w:tcBorders>
          </w:tcPr>
          <w:p w14:paraId="0B4459EE">
            <w:pPr>
              <w:pStyle w:val="179"/>
            </w:pPr>
            <w:r>
              <w:t>监测指标</w:t>
            </w:r>
          </w:p>
        </w:tc>
        <w:tc>
          <w:tcPr>
            <w:tcW w:w="1017" w:type="pct"/>
            <w:tcBorders>
              <w:bottom w:val="single" w:color="auto" w:sz="8" w:space="0"/>
            </w:tcBorders>
          </w:tcPr>
          <w:p w14:paraId="583ABC14">
            <w:pPr>
              <w:pStyle w:val="179"/>
            </w:pPr>
            <w:r>
              <w:t>测量范围</w:t>
            </w:r>
          </w:p>
        </w:tc>
        <w:tc>
          <w:tcPr>
            <w:tcW w:w="1382" w:type="pct"/>
            <w:tcBorders>
              <w:bottom w:val="single" w:color="auto" w:sz="8" w:space="0"/>
            </w:tcBorders>
          </w:tcPr>
          <w:p w14:paraId="604E2314">
            <w:pPr>
              <w:pStyle w:val="179"/>
            </w:pPr>
            <w:r>
              <w:t>精度要求（R</w:t>
            </w:r>
            <w:r>
              <w:rPr>
                <w:vertAlign w:val="superscript"/>
              </w:rPr>
              <w:t>2</w:t>
            </w:r>
            <w:r>
              <w:rPr>
                <w:vertAlign w:val="baseline"/>
              </w:rPr>
              <w:t>）</w:t>
            </w:r>
          </w:p>
        </w:tc>
      </w:tr>
      <w:tr w14:paraId="61715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Borders>
              <w:top w:val="single" w:color="auto" w:sz="8" w:space="0"/>
            </w:tcBorders>
          </w:tcPr>
          <w:p w14:paraId="394C7307">
            <w:pPr>
              <w:pStyle w:val="179"/>
            </w:pPr>
            <w:r>
              <w:t>1</w:t>
            </w:r>
          </w:p>
        </w:tc>
        <w:tc>
          <w:tcPr>
            <w:tcW w:w="1980" w:type="pct"/>
            <w:tcBorders>
              <w:top w:val="single" w:color="auto" w:sz="8" w:space="0"/>
            </w:tcBorders>
          </w:tcPr>
          <w:p w14:paraId="44E597A7">
            <w:pPr>
              <w:pStyle w:val="179"/>
            </w:pPr>
            <w:r>
              <w:t>叶绿素a(mg/L)</w:t>
            </w:r>
          </w:p>
        </w:tc>
        <w:tc>
          <w:tcPr>
            <w:tcW w:w="1017" w:type="pct"/>
            <w:tcBorders>
              <w:top w:val="single" w:color="auto" w:sz="8" w:space="0"/>
            </w:tcBorders>
          </w:tcPr>
          <w:p w14:paraId="36F7BFC7">
            <w:pPr>
              <w:pStyle w:val="179"/>
            </w:pPr>
            <w:r>
              <w:t>0-100</w:t>
            </w:r>
          </w:p>
        </w:tc>
        <w:tc>
          <w:tcPr>
            <w:tcW w:w="1382" w:type="pct"/>
            <w:tcBorders>
              <w:top w:val="single" w:color="auto" w:sz="8" w:space="0"/>
            </w:tcBorders>
          </w:tcPr>
          <w:p w14:paraId="59851487">
            <w:pPr>
              <w:pStyle w:val="179"/>
            </w:pPr>
            <w:r>
              <w:t>＞0.8</w:t>
            </w:r>
          </w:p>
        </w:tc>
      </w:tr>
      <w:tr w14:paraId="189D2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53A550B2">
            <w:pPr>
              <w:pStyle w:val="179"/>
            </w:pPr>
            <w:r>
              <w:t>2</w:t>
            </w:r>
          </w:p>
        </w:tc>
        <w:tc>
          <w:tcPr>
            <w:tcW w:w="1980" w:type="pct"/>
          </w:tcPr>
          <w:p w14:paraId="0815A5DE">
            <w:pPr>
              <w:pStyle w:val="179"/>
            </w:pPr>
            <w:r>
              <w:t>总氮（mg/L）</w:t>
            </w:r>
          </w:p>
        </w:tc>
        <w:tc>
          <w:tcPr>
            <w:tcW w:w="1017" w:type="pct"/>
          </w:tcPr>
          <w:p w14:paraId="4188EA06">
            <w:pPr>
              <w:pStyle w:val="179"/>
            </w:pPr>
            <w:r>
              <w:t>0-25</w:t>
            </w:r>
          </w:p>
        </w:tc>
        <w:tc>
          <w:tcPr>
            <w:tcW w:w="1382" w:type="pct"/>
          </w:tcPr>
          <w:p w14:paraId="3C86C0BF">
            <w:pPr>
              <w:pStyle w:val="179"/>
            </w:pPr>
            <w:r>
              <w:t>＞0.7</w:t>
            </w:r>
          </w:p>
        </w:tc>
      </w:tr>
      <w:tr w14:paraId="2ED84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60EE8BA8">
            <w:pPr>
              <w:pStyle w:val="179"/>
            </w:pPr>
            <w:r>
              <w:t>3</w:t>
            </w:r>
          </w:p>
        </w:tc>
        <w:tc>
          <w:tcPr>
            <w:tcW w:w="1980" w:type="pct"/>
          </w:tcPr>
          <w:p w14:paraId="3A709A40">
            <w:pPr>
              <w:pStyle w:val="179"/>
            </w:pPr>
            <w:r>
              <w:t>浊度（NTU）</w:t>
            </w:r>
          </w:p>
        </w:tc>
        <w:tc>
          <w:tcPr>
            <w:tcW w:w="1017" w:type="pct"/>
          </w:tcPr>
          <w:p w14:paraId="0CDA6A83">
            <w:pPr>
              <w:pStyle w:val="179"/>
            </w:pPr>
            <w:r>
              <w:t>0-300</w:t>
            </w:r>
          </w:p>
        </w:tc>
        <w:tc>
          <w:tcPr>
            <w:tcW w:w="1382" w:type="pct"/>
          </w:tcPr>
          <w:p w14:paraId="3234CE3A">
            <w:pPr>
              <w:pStyle w:val="179"/>
            </w:pPr>
            <w:r>
              <w:t>＞0.8</w:t>
            </w:r>
          </w:p>
        </w:tc>
      </w:tr>
      <w:tr w14:paraId="0DFE4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3A532720">
            <w:pPr>
              <w:pStyle w:val="179"/>
            </w:pPr>
            <w:r>
              <w:t>4</w:t>
            </w:r>
          </w:p>
        </w:tc>
        <w:tc>
          <w:tcPr>
            <w:tcW w:w="1980" w:type="pct"/>
          </w:tcPr>
          <w:p w14:paraId="2310BF02">
            <w:pPr>
              <w:pStyle w:val="179"/>
            </w:pPr>
            <w:r>
              <w:t>藻蓝蛋白（ug/L）</w:t>
            </w:r>
          </w:p>
        </w:tc>
        <w:tc>
          <w:tcPr>
            <w:tcW w:w="1017" w:type="pct"/>
          </w:tcPr>
          <w:p w14:paraId="547C7509">
            <w:pPr>
              <w:pStyle w:val="179"/>
            </w:pPr>
            <w:r>
              <w:t>0-100</w:t>
            </w:r>
          </w:p>
        </w:tc>
        <w:tc>
          <w:tcPr>
            <w:tcW w:w="1382" w:type="pct"/>
          </w:tcPr>
          <w:p w14:paraId="45A2B4C8">
            <w:pPr>
              <w:pStyle w:val="179"/>
            </w:pPr>
            <w:r>
              <w:t>＞0.8</w:t>
            </w:r>
          </w:p>
        </w:tc>
      </w:tr>
      <w:tr w14:paraId="4F9A8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6EEA5BDF">
            <w:pPr>
              <w:pStyle w:val="179"/>
            </w:pPr>
            <w:r>
              <w:t>5</w:t>
            </w:r>
          </w:p>
        </w:tc>
        <w:tc>
          <w:tcPr>
            <w:tcW w:w="1980" w:type="pct"/>
          </w:tcPr>
          <w:p w14:paraId="2FD371F9">
            <w:pPr>
              <w:pStyle w:val="179"/>
            </w:pPr>
            <w:r>
              <w:t>高锰酸盐指数（mg/L）</w:t>
            </w:r>
          </w:p>
        </w:tc>
        <w:tc>
          <w:tcPr>
            <w:tcW w:w="1017" w:type="pct"/>
          </w:tcPr>
          <w:p w14:paraId="5DC82FF4">
            <w:pPr>
              <w:pStyle w:val="179"/>
            </w:pPr>
            <w:r>
              <w:t>0-100</w:t>
            </w:r>
          </w:p>
        </w:tc>
        <w:tc>
          <w:tcPr>
            <w:tcW w:w="1382" w:type="pct"/>
          </w:tcPr>
          <w:p w14:paraId="63E47CF4">
            <w:pPr>
              <w:pStyle w:val="179"/>
            </w:pPr>
            <w:r>
              <w:t>＞0.7</w:t>
            </w:r>
          </w:p>
        </w:tc>
      </w:tr>
      <w:tr w14:paraId="58B36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76B6FC36">
            <w:pPr>
              <w:pStyle w:val="179"/>
            </w:pPr>
            <w:r>
              <w:t>6</w:t>
            </w:r>
          </w:p>
        </w:tc>
        <w:tc>
          <w:tcPr>
            <w:tcW w:w="1980" w:type="pct"/>
          </w:tcPr>
          <w:p w14:paraId="64F69595">
            <w:pPr>
              <w:pStyle w:val="179"/>
            </w:pPr>
            <w:r>
              <w:t>总磷（mg/L）</w:t>
            </w:r>
          </w:p>
        </w:tc>
        <w:tc>
          <w:tcPr>
            <w:tcW w:w="1017" w:type="pct"/>
          </w:tcPr>
          <w:p w14:paraId="62D5599B">
            <w:pPr>
              <w:pStyle w:val="179"/>
            </w:pPr>
            <w:r>
              <w:t>0-20</w:t>
            </w:r>
          </w:p>
        </w:tc>
        <w:tc>
          <w:tcPr>
            <w:tcW w:w="1382" w:type="pct"/>
          </w:tcPr>
          <w:p w14:paraId="2DDB7F67">
            <w:pPr>
              <w:pStyle w:val="179"/>
            </w:pPr>
            <w:r>
              <w:t>＞0.7</w:t>
            </w:r>
          </w:p>
        </w:tc>
      </w:tr>
      <w:tr w14:paraId="0DC96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19" w:type="pct"/>
          </w:tcPr>
          <w:p w14:paraId="74C6033C">
            <w:pPr>
              <w:pStyle w:val="179"/>
            </w:pPr>
            <w:r>
              <w:t>7</w:t>
            </w:r>
          </w:p>
        </w:tc>
        <w:tc>
          <w:tcPr>
            <w:tcW w:w="1980" w:type="pct"/>
          </w:tcPr>
          <w:p w14:paraId="6B770590">
            <w:pPr>
              <w:pStyle w:val="179"/>
            </w:pPr>
            <w:r>
              <w:t>氨氮（mg/L）</w:t>
            </w:r>
          </w:p>
        </w:tc>
        <w:tc>
          <w:tcPr>
            <w:tcW w:w="1017" w:type="pct"/>
          </w:tcPr>
          <w:p w14:paraId="501D4D63">
            <w:pPr>
              <w:pStyle w:val="179"/>
            </w:pPr>
            <w:r>
              <w:t>0-50</w:t>
            </w:r>
          </w:p>
        </w:tc>
        <w:tc>
          <w:tcPr>
            <w:tcW w:w="1382" w:type="pct"/>
          </w:tcPr>
          <w:p w14:paraId="0F2EB459">
            <w:pPr>
              <w:pStyle w:val="179"/>
            </w:pPr>
            <w:r>
              <w:t>＞0.7</w:t>
            </w:r>
          </w:p>
        </w:tc>
      </w:tr>
    </w:tbl>
    <w:p w14:paraId="0224DFC8">
      <w:pPr>
        <w:pStyle w:val="57"/>
        <w:ind w:firstLine="420"/>
      </w:pPr>
      <w:bookmarkStart w:id="52" w:name="_Hlk183808942"/>
      <w:bookmarkStart w:id="53" w:name="_Toc17598"/>
      <w:r>
        <w:t>（4）同步水样采集与实测数据获取</w:t>
      </w:r>
    </w:p>
    <w:p w14:paraId="5BA9B6D9">
      <w:pPr>
        <w:pStyle w:val="57"/>
        <w:ind w:firstLine="420"/>
      </w:pPr>
      <w:r>
        <w:t>开展地基高光谱水质参数反演模型构建、验证和更新时，应同步采集水样并获取相应水质参数的实测数据。同步水样实测指标宜包括叶绿素a、总氮、总磷、浊度、藻蓝蛋白、高锰酸盐指数、氨氮和透明度等。同步水样实测结果应作为地基高光谱水质参数反演模型训练、验证、校准和更新的参照值。</w:t>
      </w:r>
    </w:p>
    <w:p w14:paraId="18D88FB5">
      <w:pPr>
        <w:pStyle w:val="57"/>
        <w:ind w:firstLine="420"/>
      </w:pPr>
      <w:r>
        <w:t>（5）</w:t>
      </w:r>
      <w:bookmarkEnd w:id="52"/>
      <w:r>
        <w:t>地基高光谱光源</w:t>
      </w:r>
    </w:p>
    <w:p w14:paraId="470DDA4F">
      <w:pPr>
        <w:pStyle w:val="57"/>
        <w:ind w:firstLine="420"/>
      </w:pPr>
      <w:r>
        <w:t>地基高光谱设备采用全光谱光源，光源参数要求详见表2。</w:t>
      </w:r>
    </w:p>
    <w:p w14:paraId="16D5292C">
      <w:pPr>
        <w:pStyle w:val="113"/>
        <w:spacing w:before="120" w:after="120"/>
        <w:rPr>
          <w:rFonts w:ascii="Times New Roman"/>
        </w:rPr>
      </w:pPr>
      <w:r>
        <w:rPr>
          <w:rFonts w:ascii="Times New Roman"/>
        </w:rPr>
        <w:t>光源参数要求</w:t>
      </w:r>
    </w:p>
    <w:tbl>
      <w:tblPr>
        <w:tblStyle w:val="28"/>
        <w:tblW w:w="496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65"/>
        <w:gridCol w:w="3724"/>
        <w:gridCol w:w="4382"/>
      </w:tblGrid>
      <w:tr w14:paraId="19C78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28" w:type="pct"/>
            <w:tcBorders>
              <w:bottom w:val="single" w:color="auto" w:sz="8" w:space="0"/>
            </w:tcBorders>
            <w:vAlign w:val="center"/>
          </w:tcPr>
          <w:p w14:paraId="0A9938A2">
            <w:pPr>
              <w:spacing w:line="240" w:lineRule="auto"/>
              <w:jc w:val="center"/>
              <w:rPr>
                <w:rFonts w:ascii="Times New Roman" w:hAnsi="Times New Roman"/>
                <w:sz w:val="18"/>
              </w:rPr>
            </w:pPr>
            <w:r>
              <w:rPr>
                <w:rFonts w:ascii="Times New Roman" w:hAnsi="Times New Roman"/>
                <w:sz w:val="18"/>
              </w:rPr>
              <w:t>序号</w:t>
            </w:r>
          </w:p>
        </w:tc>
        <w:tc>
          <w:tcPr>
            <w:tcW w:w="2008" w:type="pct"/>
            <w:tcBorders>
              <w:bottom w:val="single" w:color="auto" w:sz="8" w:space="0"/>
            </w:tcBorders>
            <w:vAlign w:val="center"/>
          </w:tcPr>
          <w:p w14:paraId="331E4272">
            <w:pPr>
              <w:spacing w:line="240" w:lineRule="auto"/>
              <w:jc w:val="center"/>
              <w:rPr>
                <w:rFonts w:ascii="Times New Roman" w:hAnsi="Times New Roman"/>
                <w:sz w:val="18"/>
              </w:rPr>
            </w:pPr>
            <w:r>
              <w:rPr>
                <w:rFonts w:ascii="Times New Roman" w:hAnsi="Times New Roman"/>
                <w:sz w:val="18"/>
              </w:rPr>
              <w:t>性能参数</w:t>
            </w:r>
          </w:p>
        </w:tc>
        <w:tc>
          <w:tcPr>
            <w:tcW w:w="2363" w:type="pct"/>
            <w:tcBorders>
              <w:bottom w:val="single" w:color="auto" w:sz="8" w:space="0"/>
            </w:tcBorders>
            <w:vAlign w:val="center"/>
          </w:tcPr>
          <w:p w14:paraId="2AE7CD9B">
            <w:pPr>
              <w:spacing w:line="240" w:lineRule="auto"/>
              <w:jc w:val="center"/>
              <w:rPr>
                <w:rFonts w:ascii="Times New Roman" w:hAnsi="Times New Roman"/>
                <w:sz w:val="18"/>
              </w:rPr>
            </w:pPr>
            <w:r>
              <w:rPr>
                <w:rFonts w:ascii="Times New Roman" w:hAnsi="Times New Roman"/>
                <w:sz w:val="18"/>
              </w:rPr>
              <w:t>参数值</w:t>
            </w:r>
          </w:p>
        </w:tc>
      </w:tr>
      <w:tr w14:paraId="15223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8" w:type="pct"/>
            <w:tcBorders>
              <w:top w:val="single" w:color="auto" w:sz="8" w:space="0"/>
            </w:tcBorders>
            <w:vAlign w:val="center"/>
          </w:tcPr>
          <w:p w14:paraId="16200C42">
            <w:pPr>
              <w:spacing w:line="240" w:lineRule="auto"/>
              <w:jc w:val="center"/>
              <w:rPr>
                <w:rFonts w:ascii="Times New Roman" w:hAnsi="Times New Roman"/>
                <w:sz w:val="18"/>
              </w:rPr>
            </w:pPr>
            <w:r>
              <w:rPr>
                <w:rFonts w:ascii="Times New Roman" w:hAnsi="Times New Roman"/>
                <w:sz w:val="18"/>
              </w:rPr>
              <w:t>1</w:t>
            </w:r>
          </w:p>
        </w:tc>
        <w:tc>
          <w:tcPr>
            <w:tcW w:w="2008" w:type="pct"/>
            <w:tcBorders>
              <w:top w:val="single" w:color="auto" w:sz="8" w:space="0"/>
            </w:tcBorders>
            <w:vAlign w:val="center"/>
          </w:tcPr>
          <w:p w14:paraId="6682F70C">
            <w:pPr>
              <w:spacing w:line="240" w:lineRule="auto"/>
              <w:jc w:val="center"/>
              <w:rPr>
                <w:rFonts w:ascii="Times New Roman" w:hAnsi="Times New Roman"/>
                <w:sz w:val="18"/>
              </w:rPr>
            </w:pPr>
            <w:r>
              <w:rPr>
                <w:rFonts w:ascii="Times New Roman" w:hAnsi="Times New Roman"/>
                <w:sz w:val="18"/>
              </w:rPr>
              <w:t>波长范围</w:t>
            </w:r>
          </w:p>
        </w:tc>
        <w:tc>
          <w:tcPr>
            <w:tcW w:w="2363" w:type="pct"/>
            <w:tcBorders>
              <w:top w:val="single" w:color="auto" w:sz="8" w:space="0"/>
            </w:tcBorders>
            <w:vAlign w:val="center"/>
          </w:tcPr>
          <w:p w14:paraId="494C749B">
            <w:pPr>
              <w:spacing w:line="240" w:lineRule="auto"/>
              <w:jc w:val="center"/>
              <w:rPr>
                <w:rFonts w:ascii="Times New Roman" w:hAnsi="Times New Roman"/>
                <w:sz w:val="18"/>
              </w:rPr>
            </w:pPr>
            <w:r>
              <w:rPr>
                <w:rFonts w:ascii="Times New Roman" w:hAnsi="Times New Roman"/>
                <w:sz w:val="18"/>
              </w:rPr>
              <w:t>360-2400 nm</w:t>
            </w:r>
          </w:p>
        </w:tc>
      </w:tr>
      <w:tr w14:paraId="13931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8" w:type="pct"/>
            <w:vAlign w:val="center"/>
          </w:tcPr>
          <w:p w14:paraId="5BD9A699">
            <w:pPr>
              <w:spacing w:line="240" w:lineRule="auto"/>
              <w:jc w:val="center"/>
              <w:rPr>
                <w:rFonts w:ascii="Times New Roman" w:hAnsi="Times New Roman"/>
                <w:sz w:val="18"/>
              </w:rPr>
            </w:pPr>
            <w:r>
              <w:rPr>
                <w:rFonts w:ascii="Times New Roman" w:hAnsi="Times New Roman"/>
                <w:sz w:val="18"/>
              </w:rPr>
              <w:t>2</w:t>
            </w:r>
          </w:p>
        </w:tc>
        <w:tc>
          <w:tcPr>
            <w:tcW w:w="2008" w:type="pct"/>
            <w:vAlign w:val="center"/>
          </w:tcPr>
          <w:p w14:paraId="47D91E1D">
            <w:pPr>
              <w:spacing w:line="240" w:lineRule="auto"/>
              <w:jc w:val="center"/>
              <w:rPr>
                <w:rFonts w:ascii="Times New Roman" w:hAnsi="Times New Roman"/>
                <w:sz w:val="18"/>
              </w:rPr>
            </w:pPr>
            <w:r>
              <w:rPr>
                <w:rFonts w:ascii="Times New Roman" w:hAnsi="Times New Roman"/>
                <w:sz w:val="18"/>
              </w:rPr>
              <w:t>标称灯泡功率</w:t>
            </w:r>
          </w:p>
        </w:tc>
        <w:tc>
          <w:tcPr>
            <w:tcW w:w="2363" w:type="pct"/>
            <w:vAlign w:val="center"/>
          </w:tcPr>
          <w:p w14:paraId="6F6512E7">
            <w:pPr>
              <w:spacing w:line="240" w:lineRule="auto"/>
              <w:jc w:val="center"/>
              <w:rPr>
                <w:rFonts w:ascii="Times New Roman" w:hAnsi="Times New Roman"/>
                <w:sz w:val="18"/>
              </w:rPr>
            </w:pPr>
            <w:r>
              <w:rPr>
                <w:rFonts w:ascii="Times New Roman" w:hAnsi="Times New Roman"/>
                <w:sz w:val="18"/>
              </w:rPr>
              <w:t>&gt;5 W</w:t>
            </w:r>
          </w:p>
        </w:tc>
      </w:tr>
      <w:tr w14:paraId="0B3D4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8" w:type="pct"/>
            <w:vAlign w:val="center"/>
          </w:tcPr>
          <w:p w14:paraId="0CBF5E4F">
            <w:pPr>
              <w:spacing w:line="240" w:lineRule="auto"/>
              <w:jc w:val="center"/>
              <w:rPr>
                <w:rFonts w:ascii="Times New Roman" w:hAnsi="Times New Roman"/>
                <w:sz w:val="18"/>
              </w:rPr>
            </w:pPr>
            <w:r>
              <w:rPr>
                <w:rFonts w:ascii="Times New Roman" w:hAnsi="Times New Roman"/>
                <w:sz w:val="18"/>
              </w:rPr>
              <w:t>3</w:t>
            </w:r>
          </w:p>
        </w:tc>
        <w:tc>
          <w:tcPr>
            <w:tcW w:w="2008" w:type="pct"/>
            <w:vAlign w:val="center"/>
          </w:tcPr>
          <w:p w14:paraId="2491B68C">
            <w:pPr>
              <w:spacing w:line="240" w:lineRule="auto"/>
              <w:jc w:val="center"/>
              <w:rPr>
                <w:rFonts w:ascii="Times New Roman" w:hAnsi="Times New Roman"/>
                <w:sz w:val="18"/>
              </w:rPr>
            </w:pPr>
            <w:r>
              <w:rPr>
                <w:rFonts w:ascii="Times New Roman" w:hAnsi="Times New Roman"/>
                <w:sz w:val="18"/>
              </w:rPr>
              <w:t>色温</w:t>
            </w:r>
          </w:p>
        </w:tc>
        <w:tc>
          <w:tcPr>
            <w:tcW w:w="2363" w:type="pct"/>
            <w:vAlign w:val="center"/>
          </w:tcPr>
          <w:p w14:paraId="0514D508">
            <w:pPr>
              <w:spacing w:line="240" w:lineRule="auto"/>
              <w:jc w:val="center"/>
              <w:rPr>
                <w:rFonts w:ascii="Times New Roman" w:hAnsi="Times New Roman"/>
                <w:sz w:val="18"/>
              </w:rPr>
            </w:pPr>
            <w:r>
              <w:rPr>
                <w:rFonts w:ascii="Times New Roman" w:hAnsi="Times New Roman"/>
                <w:sz w:val="18"/>
              </w:rPr>
              <w:t>1400-5600 K</w:t>
            </w:r>
          </w:p>
        </w:tc>
      </w:tr>
      <w:tr w14:paraId="5E7699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8" w:type="pct"/>
            <w:vAlign w:val="center"/>
          </w:tcPr>
          <w:p w14:paraId="481675B7">
            <w:pPr>
              <w:spacing w:line="240" w:lineRule="auto"/>
              <w:jc w:val="center"/>
              <w:rPr>
                <w:rFonts w:ascii="Times New Roman" w:hAnsi="Times New Roman"/>
                <w:sz w:val="18"/>
              </w:rPr>
            </w:pPr>
            <w:r>
              <w:rPr>
                <w:rFonts w:ascii="Times New Roman" w:hAnsi="Times New Roman"/>
                <w:sz w:val="18"/>
              </w:rPr>
              <w:t>4</w:t>
            </w:r>
          </w:p>
        </w:tc>
        <w:tc>
          <w:tcPr>
            <w:tcW w:w="2008" w:type="pct"/>
            <w:vAlign w:val="center"/>
          </w:tcPr>
          <w:p w14:paraId="20AEC0CE">
            <w:pPr>
              <w:spacing w:line="240" w:lineRule="auto"/>
              <w:jc w:val="center"/>
              <w:rPr>
                <w:rFonts w:ascii="Times New Roman" w:hAnsi="Times New Roman"/>
                <w:sz w:val="18"/>
              </w:rPr>
            </w:pPr>
            <w:r>
              <w:rPr>
                <w:rFonts w:ascii="Times New Roman" w:hAnsi="Times New Roman"/>
                <w:sz w:val="18"/>
              </w:rPr>
              <w:t>光输出漂移</w:t>
            </w:r>
          </w:p>
        </w:tc>
        <w:tc>
          <w:tcPr>
            <w:tcW w:w="2363" w:type="pct"/>
            <w:vAlign w:val="center"/>
          </w:tcPr>
          <w:p w14:paraId="6B2751B6">
            <w:pPr>
              <w:spacing w:line="240" w:lineRule="auto"/>
              <w:jc w:val="center"/>
              <w:rPr>
                <w:rFonts w:ascii="Times New Roman" w:hAnsi="Times New Roman"/>
                <w:sz w:val="18"/>
              </w:rPr>
            </w:pPr>
            <w:r>
              <w:rPr>
                <w:rFonts w:ascii="Times New Roman" w:hAnsi="Times New Roman"/>
                <w:sz w:val="18"/>
              </w:rPr>
              <w:t>&lt;0.1%/h</w:t>
            </w:r>
          </w:p>
        </w:tc>
      </w:tr>
      <w:tr w14:paraId="76FC7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8" w:type="pct"/>
            <w:vAlign w:val="center"/>
          </w:tcPr>
          <w:p w14:paraId="06F5EEB7">
            <w:pPr>
              <w:spacing w:line="240" w:lineRule="auto"/>
              <w:jc w:val="center"/>
              <w:rPr>
                <w:rFonts w:ascii="Times New Roman" w:hAnsi="Times New Roman"/>
                <w:sz w:val="18"/>
              </w:rPr>
            </w:pPr>
            <w:r>
              <w:rPr>
                <w:rFonts w:ascii="Times New Roman" w:hAnsi="Times New Roman"/>
                <w:sz w:val="18"/>
              </w:rPr>
              <w:t>5</w:t>
            </w:r>
          </w:p>
        </w:tc>
        <w:tc>
          <w:tcPr>
            <w:tcW w:w="2008" w:type="pct"/>
            <w:vAlign w:val="center"/>
          </w:tcPr>
          <w:p w14:paraId="23D39549">
            <w:pPr>
              <w:spacing w:line="240" w:lineRule="auto"/>
              <w:jc w:val="center"/>
              <w:rPr>
                <w:rFonts w:ascii="Times New Roman" w:hAnsi="Times New Roman"/>
                <w:sz w:val="18"/>
              </w:rPr>
            </w:pPr>
            <w:r>
              <w:rPr>
                <w:rFonts w:ascii="Times New Roman" w:hAnsi="Times New Roman"/>
                <w:sz w:val="18"/>
              </w:rPr>
              <w:t>光源输出稳定性</w:t>
            </w:r>
          </w:p>
        </w:tc>
        <w:tc>
          <w:tcPr>
            <w:tcW w:w="2363" w:type="pct"/>
            <w:vAlign w:val="center"/>
          </w:tcPr>
          <w:p w14:paraId="0712CAD8">
            <w:pPr>
              <w:spacing w:line="240" w:lineRule="auto"/>
              <w:jc w:val="center"/>
              <w:rPr>
                <w:rFonts w:ascii="Times New Roman" w:hAnsi="Times New Roman"/>
                <w:sz w:val="18"/>
              </w:rPr>
            </w:pPr>
            <w:r>
              <w:rPr>
                <w:rFonts w:ascii="Times New Roman" w:hAnsi="Times New Roman"/>
                <w:sz w:val="18"/>
              </w:rPr>
              <w:t>&gt;0.25%</w:t>
            </w:r>
          </w:p>
        </w:tc>
      </w:tr>
    </w:tbl>
    <w:p w14:paraId="4DB6BF8F">
      <w:pPr>
        <w:pStyle w:val="57"/>
        <w:ind w:firstLine="420"/>
      </w:pPr>
      <w:r>
        <w:t>（6）高光谱传感器</w:t>
      </w:r>
    </w:p>
    <w:p w14:paraId="76DFBC78">
      <w:pPr>
        <w:pStyle w:val="57"/>
        <w:ind w:firstLine="420"/>
      </w:pPr>
      <w:r>
        <w:t>高光谱传感器性能参数要求详见表3。</w:t>
      </w:r>
    </w:p>
    <w:p w14:paraId="004E3A8A">
      <w:pPr>
        <w:pStyle w:val="113"/>
        <w:spacing w:before="120" w:after="120"/>
      </w:pPr>
      <w:r>
        <w:rPr>
          <w:rFonts w:ascii="Times New Roman"/>
        </w:rPr>
        <w:t>高光谱传感器性能参数要求</w:t>
      </w:r>
    </w:p>
    <w:tbl>
      <w:tblPr>
        <w:tblStyle w:val="28"/>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81"/>
        <w:gridCol w:w="3725"/>
        <w:gridCol w:w="4383"/>
        <w:tblGridChange w:id="0">
          <w:tblGrid>
            <w:gridCol w:w="1181"/>
            <w:gridCol w:w="3725"/>
            <w:gridCol w:w="4383"/>
          </w:tblGrid>
        </w:tblGridChange>
      </w:tblGrid>
      <w:tr w14:paraId="7A065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81" w:type="dxa"/>
            <w:tcBorders>
              <w:bottom w:val="single" w:color="auto" w:sz="8" w:space="0"/>
            </w:tcBorders>
            <w:shd w:val="clear" w:color="auto" w:fill="auto"/>
            <w:vAlign w:val="center"/>
          </w:tcPr>
          <w:p w14:paraId="1708DA04">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序号</w:t>
            </w:r>
          </w:p>
        </w:tc>
        <w:tc>
          <w:tcPr>
            <w:tcW w:w="3725" w:type="dxa"/>
            <w:tcBorders>
              <w:bottom w:val="single" w:color="auto" w:sz="8" w:space="0"/>
            </w:tcBorders>
            <w:shd w:val="clear" w:color="auto" w:fill="auto"/>
            <w:vAlign w:val="center"/>
          </w:tcPr>
          <w:p w14:paraId="51EAB2A2">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性能参数</w:t>
            </w:r>
          </w:p>
        </w:tc>
        <w:tc>
          <w:tcPr>
            <w:tcW w:w="4383" w:type="dxa"/>
            <w:tcBorders>
              <w:bottom w:val="single" w:color="auto" w:sz="8" w:space="0"/>
            </w:tcBorders>
            <w:shd w:val="clear" w:color="auto" w:fill="auto"/>
            <w:vAlign w:val="center"/>
          </w:tcPr>
          <w:p w14:paraId="22169ADD">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参数值</w:t>
            </w:r>
          </w:p>
        </w:tc>
      </w:tr>
      <w:tr w14:paraId="668AE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tcBorders>
              <w:top w:val="single" w:color="auto" w:sz="8" w:space="0"/>
            </w:tcBorders>
            <w:shd w:val="clear" w:color="auto" w:fill="auto"/>
            <w:vAlign w:val="center"/>
          </w:tcPr>
          <w:p w14:paraId="0BDE24AF">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1</w:t>
            </w:r>
          </w:p>
        </w:tc>
        <w:tc>
          <w:tcPr>
            <w:tcW w:w="3725" w:type="dxa"/>
            <w:tcBorders>
              <w:top w:val="single" w:color="auto" w:sz="8" w:space="0"/>
            </w:tcBorders>
            <w:shd w:val="clear" w:color="auto" w:fill="auto"/>
            <w:vAlign w:val="center"/>
          </w:tcPr>
          <w:p w14:paraId="05A24208">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波长范围</w:t>
            </w:r>
          </w:p>
        </w:tc>
        <w:tc>
          <w:tcPr>
            <w:tcW w:w="4383" w:type="dxa"/>
            <w:tcBorders>
              <w:top w:val="single" w:color="auto" w:sz="8" w:space="0"/>
            </w:tcBorders>
            <w:shd w:val="clear" w:color="auto" w:fill="auto"/>
            <w:vAlign w:val="center"/>
          </w:tcPr>
          <w:p w14:paraId="711AB9CB">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400-1000 nm</w:t>
            </w:r>
          </w:p>
        </w:tc>
      </w:tr>
      <w:tr w14:paraId="79E1A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5BEF452B">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2</w:t>
            </w:r>
          </w:p>
        </w:tc>
        <w:tc>
          <w:tcPr>
            <w:tcW w:w="3725" w:type="dxa"/>
            <w:shd w:val="clear" w:color="auto" w:fill="auto"/>
            <w:vAlign w:val="center"/>
          </w:tcPr>
          <w:p w14:paraId="7CA04CF0">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波长重复性*1</w:t>
            </w:r>
          </w:p>
        </w:tc>
        <w:tc>
          <w:tcPr>
            <w:tcW w:w="4383" w:type="dxa"/>
            <w:shd w:val="clear" w:color="auto" w:fill="auto"/>
            <w:vAlign w:val="center"/>
          </w:tcPr>
          <w:p w14:paraId="0EFB04CD">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≤±0.5 nm</w:t>
            </w:r>
          </w:p>
        </w:tc>
      </w:tr>
      <w:tr w14:paraId="34D6C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19D90B89">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3</w:t>
            </w:r>
          </w:p>
        </w:tc>
        <w:tc>
          <w:tcPr>
            <w:tcW w:w="3725" w:type="dxa"/>
            <w:shd w:val="clear" w:color="auto" w:fill="auto"/>
            <w:vAlign w:val="center"/>
          </w:tcPr>
          <w:p w14:paraId="079310E2">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信噪比*2</w:t>
            </w:r>
          </w:p>
        </w:tc>
        <w:tc>
          <w:tcPr>
            <w:tcW w:w="4383" w:type="dxa"/>
            <w:shd w:val="clear" w:color="auto" w:fill="auto"/>
            <w:vAlign w:val="center"/>
          </w:tcPr>
          <w:p w14:paraId="4DBA8249">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&gt;100:1</w:t>
            </w:r>
          </w:p>
        </w:tc>
      </w:tr>
      <w:tr w14:paraId="7726D8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711C6AA6">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4</w:t>
            </w:r>
          </w:p>
        </w:tc>
        <w:tc>
          <w:tcPr>
            <w:tcW w:w="3725" w:type="dxa"/>
            <w:shd w:val="clear" w:color="auto" w:fill="auto"/>
            <w:vAlign w:val="center"/>
          </w:tcPr>
          <w:p w14:paraId="2B907C63">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光谱分辨率</w:t>
            </w:r>
          </w:p>
        </w:tc>
        <w:tc>
          <w:tcPr>
            <w:tcW w:w="4383" w:type="dxa"/>
            <w:shd w:val="clear" w:color="auto" w:fill="auto"/>
            <w:vAlign w:val="center"/>
          </w:tcPr>
          <w:p w14:paraId="166E8614">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1-25 nm</w:t>
            </w:r>
          </w:p>
        </w:tc>
      </w:tr>
      <w:tr w14:paraId="0632DD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52FCE3EB">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5</w:t>
            </w:r>
          </w:p>
        </w:tc>
        <w:tc>
          <w:tcPr>
            <w:tcW w:w="3725" w:type="dxa"/>
            <w:shd w:val="clear" w:color="auto" w:fill="auto"/>
            <w:vAlign w:val="center"/>
          </w:tcPr>
          <w:p w14:paraId="028176C6">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输出步长</w:t>
            </w:r>
          </w:p>
        </w:tc>
        <w:tc>
          <w:tcPr>
            <w:tcW w:w="4383" w:type="dxa"/>
            <w:shd w:val="clear" w:color="auto" w:fill="auto"/>
            <w:vAlign w:val="center"/>
          </w:tcPr>
          <w:p w14:paraId="4670504E">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≥2 nm</w:t>
            </w:r>
          </w:p>
        </w:tc>
      </w:tr>
      <w:tr w14:paraId="1BD9F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1AC3CF51">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6</w:t>
            </w:r>
          </w:p>
        </w:tc>
        <w:tc>
          <w:tcPr>
            <w:tcW w:w="3725" w:type="dxa"/>
            <w:shd w:val="clear" w:color="auto" w:fill="auto"/>
            <w:vAlign w:val="center"/>
          </w:tcPr>
          <w:p w14:paraId="480A0AFC">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线性度*3</w:t>
            </w:r>
          </w:p>
        </w:tc>
        <w:tc>
          <w:tcPr>
            <w:tcW w:w="4383" w:type="dxa"/>
            <w:shd w:val="clear" w:color="auto" w:fill="auto"/>
            <w:vAlign w:val="center"/>
          </w:tcPr>
          <w:p w14:paraId="47D5F93C">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&lt;5%</w:t>
            </w:r>
          </w:p>
        </w:tc>
      </w:tr>
      <w:tr w14:paraId="0C43B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shd w:val="clear" w:color="auto" w:fill="auto"/>
            <w:vAlign w:val="center"/>
          </w:tcPr>
          <w:p w14:paraId="2BD18434">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7</w:t>
            </w:r>
          </w:p>
        </w:tc>
        <w:tc>
          <w:tcPr>
            <w:tcW w:w="3725" w:type="dxa"/>
            <w:shd w:val="clear" w:color="auto" w:fill="auto"/>
            <w:vAlign w:val="center"/>
          </w:tcPr>
          <w:p w14:paraId="5F1E718D">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防水</w:t>
            </w:r>
          </w:p>
        </w:tc>
        <w:tc>
          <w:tcPr>
            <w:tcW w:w="4383" w:type="dxa"/>
            <w:shd w:val="clear" w:color="auto" w:fill="auto"/>
            <w:vAlign w:val="center"/>
          </w:tcPr>
          <w:p w14:paraId="25376FC7">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不低于IPX5</w:t>
            </w:r>
          </w:p>
        </w:tc>
      </w:tr>
    </w:tbl>
    <w:p w14:paraId="28693699">
      <w:r>
        <w:br w:type="page"/>
      </w:r>
    </w:p>
    <w:p w14:paraId="2ACE27CB">
      <w:pPr>
        <w:pStyle w:val="57"/>
        <w:pageBreakBefore/>
        <w:spacing w:before="157" w:beforeLines="50" w:after="157" w:afterLines="50"/>
        <w:ind w:firstLine="0" w:firstLineChars="0"/>
        <w:jc w:val="center"/>
        <w:rPr>
          <w:rFonts w:hint="eastAsia" w:ascii="宋体" w:hAnsi="宋体" w:eastAsia="宋体" w:cs="宋体"/>
          <w:lang w:eastAsia="zh-CN"/>
        </w:rPr>
      </w:pPr>
      <w:r>
        <w:rPr>
          <w:rFonts w:hint="eastAsia" w:ascii="黑体" w:hAnsi="黑体" w:eastAsia="黑体" w:cs="黑体"/>
          <w:lang w:eastAsia="zh-CN"/>
        </w:rPr>
        <w:t>表3  高光谱传感器性能参数要求</w:t>
      </w:r>
      <w:r>
        <w:rPr>
          <w:rFonts w:hint="eastAsia" w:ascii="宋体" w:hAnsi="宋体" w:eastAsia="宋体" w:cs="宋体"/>
          <w:lang w:eastAsia="zh-CN"/>
        </w:rPr>
        <w:t>（续）</w:t>
      </w:r>
    </w:p>
    <w:tbl>
      <w:tblPr>
        <w:tblStyle w:val="27"/>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81"/>
        <w:gridCol w:w="3725"/>
        <w:gridCol w:w="4383"/>
      </w:tblGrid>
      <w:tr w14:paraId="4213E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181" w:type="dxa"/>
            <w:tcBorders>
              <w:bottom w:val="single" w:color="auto" w:sz="8" w:space="0"/>
            </w:tcBorders>
            <w:shd w:val="clear" w:color="auto" w:fill="auto"/>
            <w:vAlign w:val="center"/>
          </w:tcPr>
          <w:p w14:paraId="0205DBFD">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序号</w:t>
            </w:r>
          </w:p>
        </w:tc>
        <w:tc>
          <w:tcPr>
            <w:tcW w:w="3725" w:type="dxa"/>
            <w:tcBorders>
              <w:bottom w:val="single" w:color="auto" w:sz="8" w:space="0"/>
            </w:tcBorders>
            <w:shd w:val="clear" w:color="auto" w:fill="auto"/>
            <w:vAlign w:val="center"/>
          </w:tcPr>
          <w:p w14:paraId="1DF52A46">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性能参数</w:t>
            </w:r>
          </w:p>
        </w:tc>
        <w:tc>
          <w:tcPr>
            <w:tcW w:w="4383" w:type="dxa"/>
            <w:tcBorders>
              <w:bottom w:val="single" w:color="auto" w:sz="8" w:space="0"/>
            </w:tcBorders>
            <w:shd w:val="clear" w:color="auto" w:fill="auto"/>
            <w:vAlign w:val="center"/>
          </w:tcPr>
          <w:p w14:paraId="6AFDA8E3">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参数值</w:t>
            </w:r>
          </w:p>
        </w:tc>
      </w:tr>
    </w:tbl>
    <w:tbl>
      <w:tblPr>
        <w:tblStyle w:val="28"/>
        <w:tblW w:w="9289" w:type="dxa"/>
        <w:jc w:val="center"/>
        <w:tblBorders>
          <w:top w:val="none" w:color="auto" w:sz="0"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81"/>
        <w:gridCol w:w="3725"/>
        <w:gridCol w:w="4383"/>
      </w:tblGrid>
      <w:tr w14:paraId="31B32CBA">
        <w:tblPrEx>
          <w:tblBorders>
            <w:top w:val="none" w:color="auto" w:sz="0"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tcBorders>
              <w:tl2br w:val="nil"/>
              <w:tr2bl w:val="nil"/>
            </w:tcBorders>
            <w:shd w:val="clear" w:color="auto" w:fill="auto"/>
            <w:vAlign w:val="center"/>
          </w:tcPr>
          <w:p w14:paraId="0E6F7575">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8</w:t>
            </w:r>
          </w:p>
        </w:tc>
        <w:tc>
          <w:tcPr>
            <w:tcW w:w="3725" w:type="dxa"/>
            <w:tcBorders>
              <w:tl2br w:val="nil"/>
              <w:tr2bl w:val="nil"/>
            </w:tcBorders>
            <w:shd w:val="clear" w:color="auto" w:fill="auto"/>
            <w:vAlign w:val="center"/>
          </w:tcPr>
          <w:p w14:paraId="0C19C8A5">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视场角</w:t>
            </w:r>
          </w:p>
        </w:tc>
        <w:tc>
          <w:tcPr>
            <w:tcW w:w="4383" w:type="dxa"/>
            <w:tcBorders>
              <w:tl2br w:val="nil"/>
              <w:tr2bl w:val="nil"/>
            </w:tcBorders>
            <w:shd w:val="clear" w:color="auto" w:fill="auto"/>
            <w:vAlign w:val="center"/>
          </w:tcPr>
          <w:p w14:paraId="2A7D326A">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&lt;45°</w:t>
            </w:r>
          </w:p>
        </w:tc>
      </w:tr>
      <w:tr w14:paraId="6B3745D0">
        <w:tblPrEx>
          <w:tblBorders>
            <w:top w:val="none" w:color="auto" w:sz="0"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181" w:type="dxa"/>
            <w:tcBorders>
              <w:tl2br w:val="nil"/>
              <w:tr2bl w:val="nil"/>
            </w:tcBorders>
            <w:shd w:val="clear" w:color="auto" w:fill="auto"/>
            <w:vAlign w:val="center"/>
          </w:tcPr>
          <w:p w14:paraId="1DCC6B77">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9</w:t>
            </w:r>
          </w:p>
        </w:tc>
        <w:tc>
          <w:tcPr>
            <w:tcW w:w="3725" w:type="dxa"/>
            <w:tcBorders>
              <w:tl2br w:val="nil"/>
              <w:tr2bl w:val="nil"/>
            </w:tcBorders>
            <w:shd w:val="clear" w:color="auto" w:fill="auto"/>
            <w:vAlign w:val="center"/>
          </w:tcPr>
          <w:p w14:paraId="653D02B1">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信号漂移</w:t>
            </w:r>
          </w:p>
        </w:tc>
        <w:tc>
          <w:tcPr>
            <w:tcW w:w="4383" w:type="dxa"/>
            <w:tcBorders>
              <w:tl2br w:val="nil"/>
              <w:tr2bl w:val="nil"/>
            </w:tcBorders>
            <w:shd w:val="clear" w:color="auto" w:fill="auto"/>
            <w:vAlign w:val="center"/>
          </w:tcPr>
          <w:p w14:paraId="7E72FC06">
            <w:pPr>
              <w:spacing w:line="240" w:lineRule="auto"/>
              <w:jc w:val="center"/>
              <w:rPr>
                <w:rFonts w:ascii="Times New Roman" w:hAnsi="Times New Roman"/>
                <w:sz w:val="18"/>
              </w:rPr>
            </w:pPr>
            <w:r>
              <w:rPr>
                <w:rFonts w:ascii="Times New Roman" w:hAnsi="Times New Roman"/>
                <w:sz w:val="18"/>
              </w:rPr>
              <w:t>&lt;0.5 nm@0 ℃</w:t>
            </w:r>
          </w:p>
          <w:p w14:paraId="39707F33">
            <w:pPr>
              <w:spacing w:line="240" w:lineRule="auto"/>
              <w:jc w:val="center"/>
              <w:rPr>
                <w:rFonts w:ascii="Times New Roman" w:hAnsi="Times New Roman" w:eastAsia="宋体" w:cs="Times New Roman"/>
                <w:kern w:val="2"/>
                <w:sz w:val="18"/>
                <w:szCs w:val="21"/>
                <w:lang w:val="en-US" w:eastAsia="zh-CN" w:bidi="ar-SA"/>
              </w:rPr>
            </w:pPr>
            <w:r>
              <w:rPr>
                <w:rFonts w:ascii="Times New Roman" w:hAnsi="Times New Roman"/>
                <w:sz w:val="18"/>
              </w:rPr>
              <w:t>&lt;1 nm@40 ℃</w:t>
            </w:r>
          </w:p>
        </w:tc>
      </w:tr>
      <w:bookmarkEnd w:id="53"/>
    </w:tbl>
    <w:p w14:paraId="63CA75ED">
      <w:pPr>
        <w:pStyle w:val="57"/>
        <w:ind w:firstLine="420"/>
      </w:pPr>
      <w:r>
        <w:t>（7）地基高光谱设备整体参数</w:t>
      </w:r>
    </w:p>
    <w:p w14:paraId="691AFB42">
      <w:pPr>
        <w:pStyle w:val="57"/>
        <w:ind w:firstLine="420"/>
      </w:pPr>
      <w:r>
        <w:t>地基高光谱设备参数性能指标要求见表4。</w:t>
      </w:r>
    </w:p>
    <w:p w14:paraId="4B2614FA">
      <w:pPr>
        <w:pStyle w:val="113"/>
        <w:spacing w:before="120" w:after="120"/>
        <w:rPr>
          <w:rFonts w:ascii="Times New Roman"/>
        </w:rPr>
      </w:pPr>
      <w:r>
        <w:rPr>
          <w:rFonts w:ascii="Times New Roman"/>
        </w:rPr>
        <w:t>地基高光谱设备参数性能指标要求</w:t>
      </w:r>
    </w:p>
    <w:tbl>
      <w:tblPr>
        <w:tblStyle w:val="28"/>
        <w:tblW w:w="495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163"/>
        <w:gridCol w:w="3705"/>
        <w:gridCol w:w="4382"/>
      </w:tblGrid>
      <w:tr w14:paraId="37F5A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629" w:type="pct"/>
            <w:tcBorders>
              <w:bottom w:val="single" w:color="auto" w:sz="8" w:space="0"/>
            </w:tcBorders>
            <w:vAlign w:val="center"/>
          </w:tcPr>
          <w:p w14:paraId="0EFF9A48">
            <w:pPr>
              <w:spacing w:line="240" w:lineRule="auto"/>
              <w:jc w:val="center"/>
              <w:rPr>
                <w:rFonts w:ascii="Times New Roman" w:hAnsi="Times New Roman"/>
                <w:sz w:val="18"/>
              </w:rPr>
            </w:pPr>
            <w:r>
              <w:rPr>
                <w:rFonts w:ascii="Times New Roman" w:hAnsi="Times New Roman"/>
                <w:sz w:val="18"/>
              </w:rPr>
              <w:t>序号</w:t>
            </w:r>
          </w:p>
        </w:tc>
        <w:tc>
          <w:tcPr>
            <w:tcW w:w="2002" w:type="pct"/>
            <w:tcBorders>
              <w:bottom w:val="single" w:color="auto" w:sz="8" w:space="0"/>
            </w:tcBorders>
            <w:vAlign w:val="center"/>
          </w:tcPr>
          <w:p w14:paraId="7ECE7F5D">
            <w:pPr>
              <w:spacing w:line="240" w:lineRule="auto"/>
              <w:jc w:val="center"/>
              <w:rPr>
                <w:rFonts w:ascii="Times New Roman" w:hAnsi="Times New Roman"/>
                <w:sz w:val="18"/>
              </w:rPr>
            </w:pPr>
            <w:r>
              <w:rPr>
                <w:rFonts w:ascii="Times New Roman" w:hAnsi="Times New Roman"/>
                <w:sz w:val="18"/>
              </w:rPr>
              <w:t>性能参数</w:t>
            </w:r>
          </w:p>
        </w:tc>
        <w:tc>
          <w:tcPr>
            <w:tcW w:w="2368" w:type="pct"/>
            <w:tcBorders>
              <w:bottom w:val="single" w:color="auto" w:sz="8" w:space="0"/>
            </w:tcBorders>
            <w:vAlign w:val="center"/>
          </w:tcPr>
          <w:p w14:paraId="52F9105D">
            <w:pPr>
              <w:spacing w:line="240" w:lineRule="auto"/>
              <w:jc w:val="center"/>
              <w:rPr>
                <w:rFonts w:ascii="Times New Roman" w:hAnsi="Times New Roman"/>
                <w:sz w:val="18"/>
              </w:rPr>
            </w:pPr>
            <w:r>
              <w:rPr>
                <w:rFonts w:ascii="Times New Roman" w:hAnsi="Times New Roman"/>
                <w:sz w:val="18"/>
              </w:rPr>
              <w:t>参数值</w:t>
            </w:r>
          </w:p>
        </w:tc>
      </w:tr>
      <w:tr w14:paraId="56DF2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9" w:type="pct"/>
            <w:tcBorders>
              <w:top w:val="single" w:color="auto" w:sz="8" w:space="0"/>
            </w:tcBorders>
            <w:vAlign w:val="center"/>
          </w:tcPr>
          <w:p w14:paraId="668BC458">
            <w:pPr>
              <w:spacing w:line="240" w:lineRule="auto"/>
              <w:jc w:val="center"/>
              <w:rPr>
                <w:rFonts w:ascii="Times New Roman" w:hAnsi="Times New Roman"/>
                <w:sz w:val="18"/>
              </w:rPr>
            </w:pPr>
            <w:r>
              <w:rPr>
                <w:rFonts w:ascii="Times New Roman" w:hAnsi="Times New Roman"/>
                <w:sz w:val="18"/>
              </w:rPr>
              <w:t>1</w:t>
            </w:r>
          </w:p>
        </w:tc>
        <w:tc>
          <w:tcPr>
            <w:tcW w:w="2002" w:type="pct"/>
            <w:tcBorders>
              <w:top w:val="single" w:color="auto" w:sz="8" w:space="0"/>
            </w:tcBorders>
            <w:vAlign w:val="center"/>
          </w:tcPr>
          <w:p w14:paraId="1AF84B73">
            <w:pPr>
              <w:spacing w:line="240" w:lineRule="auto"/>
              <w:jc w:val="center"/>
              <w:rPr>
                <w:rFonts w:ascii="Times New Roman" w:hAnsi="Times New Roman"/>
                <w:sz w:val="18"/>
              </w:rPr>
            </w:pPr>
            <w:r>
              <w:rPr>
                <w:rFonts w:ascii="Times New Roman" w:hAnsi="Times New Roman"/>
                <w:sz w:val="18"/>
              </w:rPr>
              <w:t>供电方式</w:t>
            </w:r>
          </w:p>
        </w:tc>
        <w:tc>
          <w:tcPr>
            <w:tcW w:w="2368" w:type="pct"/>
            <w:tcBorders>
              <w:top w:val="single" w:color="auto" w:sz="8" w:space="0"/>
            </w:tcBorders>
            <w:vAlign w:val="center"/>
          </w:tcPr>
          <w:p w14:paraId="42732855">
            <w:pPr>
              <w:spacing w:line="240" w:lineRule="auto"/>
              <w:jc w:val="center"/>
              <w:rPr>
                <w:rFonts w:ascii="Times New Roman" w:hAnsi="Times New Roman"/>
                <w:sz w:val="18"/>
              </w:rPr>
            </w:pPr>
            <w:r>
              <w:rPr>
                <w:rFonts w:ascii="Times New Roman" w:hAnsi="Times New Roman"/>
                <w:sz w:val="18"/>
              </w:rPr>
              <w:t>市电、新能源、充电</w:t>
            </w:r>
          </w:p>
        </w:tc>
      </w:tr>
      <w:tr w14:paraId="1194D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9" w:type="pct"/>
            <w:vAlign w:val="center"/>
          </w:tcPr>
          <w:p w14:paraId="4B2E2D8C">
            <w:pPr>
              <w:spacing w:line="240" w:lineRule="auto"/>
              <w:jc w:val="center"/>
              <w:rPr>
                <w:rFonts w:ascii="Times New Roman" w:hAnsi="Times New Roman"/>
                <w:sz w:val="18"/>
              </w:rPr>
            </w:pPr>
            <w:r>
              <w:rPr>
                <w:rFonts w:ascii="Times New Roman" w:hAnsi="Times New Roman"/>
                <w:sz w:val="18"/>
              </w:rPr>
              <w:t>2</w:t>
            </w:r>
          </w:p>
        </w:tc>
        <w:tc>
          <w:tcPr>
            <w:tcW w:w="2002" w:type="pct"/>
            <w:vAlign w:val="center"/>
          </w:tcPr>
          <w:p w14:paraId="45962ADA">
            <w:pPr>
              <w:spacing w:line="240" w:lineRule="auto"/>
              <w:jc w:val="center"/>
              <w:rPr>
                <w:rFonts w:ascii="Times New Roman" w:hAnsi="Times New Roman"/>
                <w:sz w:val="18"/>
              </w:rPr>
            </w:pPr>
            <w:r>
              <w:rPr>
                <w:rFonts w:ascii="Times New Roman" w:hAnsi="Times New Roman"/>
                <w:sz w:val="18"/>
              </w:rPr>
              <w:t>联网方式</w:t>
            </w:r>
          </w:p>
        </w:tc>
        <w:tc>
          <w:tcPr>
            <w:tcW w:w="2368" w:type="pct"/>
            <w:vAlign w:val="center"/>
          </w:tcPr>
          <w:p w14:paraId="2CF6C29D">
            <w:pPr>
              <w:spacing w:line="240" w:lineRule="auto"/>
              <w:jc w:val="center"/>
              <w:rPr>
                <w:rFonts w:ascii="Times New Roman" w:hAnsi="Times New Roman"/>
                <w:sz w:val="18"/>
              </w:rPr>
            </w:pPr>
            <w:r>
              <w:rPr>
                <w:rFonts w:ascii="Times New Roman" w:hAnsi="Times New Roman"/>
                <w:sz w:val="18"/>
              </w:rPr>
              <w:t>4G/5G/Wi-Fi/TCP</w:t>
            </w:r>
          </w:p>
        </w:tc>
      </w:tr>
      <w:tr w14:paraId="19896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9" w:type="pct"/>
            <w:vAlign w:val="center"/>
          </w:tcPr>
          <w:p w14:paraId="17051065">
            <w:pPr>
              <w:spacing w:line="240" w:lineRule="auto"/>
              <w:jc w:val="center"/>
              <w:rPr>
                <w:rFonts w:ascii="Times New Roman" w:hAnsi="Times New Roman"/>
                <w:sz w:val="18"/>
              </w:rPr>
            </w:pPr>
            <w:r>
              <w:rPr>
                <w:rFonts w:ascii="Times New Roman" w:hAnsi="Times New Roman"/>
                <w:sz w:val="18"/>
              </w:rPr>
              <w:t>3</w:t>
            </w:r>
          </w:p>
        </w:tc>
        <w:tc>
          <w:tcPr>
            <w:tcW w:w="2002" w:type="pct"/>
            <w:vAlign w:val="center"/>
          </w:tcPr>
          <w:p w14:paraId="3852AAD0">
            <w:pPr>
              <w:spacing w:line="240" w:lineRule="auto"/>
              <w:jc w:val="center"/>
              <w:rPr>
                <w:rFonts w:ascii="Times New Roman" w:hAnsi="Times New Roman"/>
                <w:sz w:val="18"/>
              </w:rPr>
            </w:pPr>
            <w:r>
              <w:rPr>
                <w:rFonts w:ascii="Times New Roman" w:hAnsi="Times New Roman"/>
                <w:sz w:val="18"/>
              </w:rPr>
              <w:t>常规采集频次</w:t>
            </w:r>
          </w:p>
        </w:tc>
        <w:tc>
          <w:tcPr>
            <w:tcW w:w="2368" w:type="pct"/>
            <w:vAlign w:val="center"/>
          </w:tcPr>
          <w:p w14:paraId="566FC946">
            <w:pPr>
              <w:spacing w:line="240" w:lineRule="auto"/>
              <w:jc w:val="center"/>
              <w:rPr>
                <w:rFonts w:ascii="Times New Roman" w:hAnsi="Times New Roman"/>
                <w:sz w:val="18"/>
              </w:rPr>
            </w:pPr>
            <w:r>
              <w:rPr>
                <w:rFonts w:ascii="Times New Roman" w:hAnsi="Times New Roman"/>
                <w:sz w:val="18"/>
              </w:rPr>
              <w:t>≥1小时/次</w:t>
            </w:r>
          </w:p>
        </w:tc>
      </w:tr>
      <w:tr w14:paraId="3A45BC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629" w:type="pct"/>
            <w:vAlign w:val="center"/>
          </w:tcPr>
          <w:p w14:paraId="47887F03">
            <w:pPr>
              <w:spacing w:line="240" w:lineRule="auto"/>
              <w:jc w:val="center"/>
              <w:rPr>
                <w:rFonts w:ascii="Times New Roman" w:hAnsi="Times New Roman"/>
                <w:sz w:val="18"/>
              </w:rPr>
            </w:pPr>
            <w:r>
              <w:rPr>
                <w:rFonts w:ascii="Times New Roman" w:hAnsi="Times New Roman"/>
                <w:sz w:val="18"/>
              </w:rPr>
              <w:t>4</w:t>
            </w:r>
          </w:p>
        </w:tc>
        <w:tc>
          <w:tcPr>
            <w:tcW w:w="2002" w:type="pct"/>
            <w:vAlign w:val="center"/>
          </w:tcPr>
          <w:p w14:paraId="5A7D6DAE">
            <w:pPr>
              <w:spacing w:line="240" w:lineRule="auto"/>
              <w:jc w:val="center"/>
              <w:rPr>
                <w:rFonts w:ascii="Times New Roman" w:hAnsi="Times New Roman"/>
                <w:sz w:val="18"/>
              </w:rPr>
            </w:pPr>
            <w:r>
              <w:rPr>
                <w:rFonts w:ascii="Times New Roman" w:hAnsi="Times New Roman"/>
                <w:sz w:val="18"/>
              </w:rPr>
              <w:t>高频采集</w:t>
            </w:r>
          </w:p>
        </w:tc>
        <w:tc>
          <w:tcPr>
            <w:tcW w:w="2368" w:type="pct"/>
            <w:vAlign w:val="center"/>
          </w:tcPr>
          <w:p w14:paraId="18E59304">
            <w:pPr>
              <w:spacing w:line="240" w:lineRule="auto"/>
              <w:jc w:val="center"/>
              <w:rPr>
                <w:rFonts w:ascii="Times New Roman" w:hAnsi="Times New Roman"/>
                <w:sz w:val="18"/>
              </w:rPr>
            </w:pPr>
            <w:r>
              <w:rPr>
                <w:rFonts w:ascii="Times New Roman" w:hAnsi="Times New Roman"/>
                <w:sz w:val="18"/>
              </w:rPr>
              <w:t>≥10分钟/次</w:t>
            </w:r>
          </w:p>
        </w:tc>
      </w:tr>
    </w:tbl>
    <w:p w14:paraId="204AF52B">
      <w:pPr>
        <w:pStyle w:val="105"/>
        <w:spacing w:before="240" w:after="240"/>
        <w:rPr>
          <w:rFonts w:ascii="Times New Roman"/>
        </w:rPr>
      </w:pPr>
      <w:bookmarkStart w:id="54" w:name="_Toc19313"/>
      <w:bookmarkStart w:id="55" w:name="_Toc14347"/>
      <w:r>
        <w:rPr>
          <w:rFonts w:ascii="Times New Roman"/>
        </w:rPr>
        <w:t>地基高光谱监测指标反演模型</w:t>
      </w:r>
      <w:bookmarkEnd w:id="54"/>
      <w:r>
        <w:rPr>
          <w:rFonts w:ascii="Times New Roman"/>
        </w:rPr>
        <w:t>及富营养化评价方法</w:t>
      </w:r>
      <w:bookmarkEnd w:id="55"/>
    </w:p>
    <w:p w14:paraId="76AC34EE">
      <w:pPr>
        <w:pStyle w:val="106"/>
        <w:spacing w:before="120" w:after="120"/>
        <w:rPr>
          <w:rFonts w:ascii="Times New Roman"/>
        </w:rPr>
      </w:pPr>
      <w:bookmarkStart w:id="56" w:name="_Toc21396"/>
      <w:r>
        <w:rPr>
          <w:rFonts w:ascii="Times New Roman"/>
        </w:rPr>
        <w:t>光谱反射机制</w:t>
      </w:r>
      <w:bookmarkEnd w:id="56"/>
    </w:p>
    <w:p w14:paraId="47778526">
      <w:pPr>
        <w:pStyle w:val="57"/>
        <w:ind w:firstLine="420"/>
      </w:pPr>
      <w:r>
        <w:t>富营养化水体中不同物质对可见光－近红外波段（380–1000 nm）的吸收/反射特性：</w:t>
      </w:r>
    </w:p>
    <w:p w14:paraId="4F3BD1DA">
      <w:pPr>
        <w:pStyle w:val="57"/>
        <w:ind w:firstLine="420"/>
      </w:pPr>
      <w:r>
        <w:t>叶绿素a：685 nm荧光峰（藻类活性）、440 nm吸收峰（蓝光区）；</w:t>
      </w:r>
    </w:p>
    <w:p w14:paraId="44EE8A3C">
      <w:pPr>
        <w:pStyle w:val="57"/>
        <w:ind w:firstLine="420"/>
      </w:pPr>
      <w:r>
        <w:t>浊度：580–680 nm反射峰（悬浮颗粒散射）；</w:t>
      </w:r>
    </w:p>
    <w:p w14:paraId="0E3A0B2C">
      <w:pPr>
        <w:pStyle w:val="57"/>
        <w:ind w:firstLine="420"/>
      </w:pPr>
      <w:r>
        <w:t>CDOM：520 nm强吸收（短波波段）；</w:t>
      </w:r>
    </w:p>
    <w:p w14:paraId="63CB559F">
      <w:pPr>
        <w:pStyle w:val="57"/>
        <w:ind w:firstLine="420"/>
      </w:pPr>
      <w:r>
        <w:t>总磷：675 nm吸收峰；</w:t>
      </w:r>
    </w:p>
    <w:p w14:paraId="0AA0AF46">
      <w:pPr>
        <w:pStyle w:val="57"/>
        <w:ind w:firstLine="420"/>
      </w:pPr>
      <w:r>
        <w:t>总氮：一阶微分在‌680 nm、700 nm和750 nm附近的峰值；</w:t>
      </w:r>
    </w:p>
    <w:p w14:paraId="5170C33B">
      <w:pPr>
        <w:pStyle w:val="57"/>
        <w:ind w:firstLine="420"/>
      </w:pPr>
      <w:r>
        <w:t>透明度：一阶微分在‌520 nm‌和‌700 nm‌附近的峰值。</w:t>
      </w:r>
    </w:p>
    <w:p w14:paraId="6DFE8E1D">
      <w:pPr>
        <w:pStyle w:val="106"/>
        <w:spacing w:before="120" w:after="120"/>
        <w:rPr>
          <w:rFonts w:ascii="Times New Roman"/>
        </w:rPr>
      </w:pPr>
      <w:bookmarkStart w:id="57" w:name="_Toc19600"/>
      <w:r>
        <w:rPr>
          <w:rFonts w:ascii="Times New Roman"/>
        </w:rPr>
        <w:t>反演模型构建</w:t>
      </w:r>
      <w:bookmarkEnd w:id="57"/>
    </w:p>
    <w:p w14:paraId="599EED03">
      <w:pPr>
        <w:pStyle w:val="57"/>
        <w:ind w:firstLine="420"/>
      </w:pPr>
      <w:r>
        <w:t>基于6.1节所阐述的特征波段，利用统计学习、分类聚类、机器学习等方式，对不同的水质参数特征波段重组，实验对比并选择出与实测水质参数数据相关性最优的重组特征波段作为因变量，构建出水质参数的反演模型。</w:t>
      </w:r>
    </w:p>
    <w:p w14:paraId="40F77D4F">
      <w:pPr>
        <w:pStyle w:val="106"/>
        <w:spacing w:before="120" w:after="120"/>
        <w:rPr>
          <w:rFonts w:ascii="Times New Roman"/>
        </w:rPr>
      </w:pPr>
      <w:bookmarkStart w:id="58" w:name="_Toc31623"/>
      <w:r>
        <w:rPr>
          <w:rFonts w:ascii="Times New Roman"/>
        </w:rPr>
        <w:t>实测数据比对和模型优化</w:t>
      </w:r>
      <w:bookmarkEnd w:id="58"/>
    </w:p>
    <w:p w14:paraId="718F04C8">
      <w:pPr>
        <w:pStyle w:val="114"/>
        <w:rPr>
          <w:rFonts w:ascii="Times New Roman" w:hAnsi="Times New Roman"/>
        </w:rPr>
      </w:pPr>
      <w:r>
        <w:rPr>
          <w:rFonts w:ascii="Times New Roman" w:hAnsi="Times New Roman"/>
        </w:rPr>
        <w:tab/>
      </w:r>
      <m:oMath>
        <m:bar>
          <m:barPr>
            <m:pos m:val="top"/>
            <m:ctrlPr>
              <w:rPr>
                <w:rFonts w:ascii="Cambria Math" w:hAnsi="Cambria Math"/>
                <w:i/>
              </w:rPr>
            </m:ctrlPr>
          </m:barPr>
          <m:e>
            <m:r>
              <m:rPr>
                <m:nor/>
              </m:rPr>
              <w:rPr>
                <w:rFonts w:ascii="Times New Roman" w:hAnsi="Times New Roman"/>
                <w:i/>
              </w:rPr>
              <m:t>x</m:t>
            </m:r>
            <m:ctrlPr>
              <w:rPr>
                <w:rFonts w:ascii="Cambria Math" w:hAnsi="Cambria Math"/>
                <w:i/>
              </w:rPr>
            </m:ctrlPr>
          </m:e>
        </m:bar>
        <m:r>
          <m:rPr>
            <m:nor/>
            <m:sty m:val="p"/>
          </m:rPr>
          <w:rPr>
            <w:rFonts w:ascii="Times New Roman" w:hAnsi="Times New Roman"/>
            <w:b w:val="0"/>
            <w:i w:val="0"/>
          </w:rPr>
          <m:t>=</m:t>
        </m:r>
        <m:f>
          <m:fPr>
            <m:ctrlPr>
              <w:rPr>
                <w:rFonts w:ascii="Cambria Math" w:hAnsi="Cambria Math"/>
                <w:i/>
              </w:rPr>
            </m:ctrlPr>
          </m:fPr>
          <m:num>
            <m:r>
              <m:rPr>
                <m:nor/>
                <m:sty m:val="p"/>
              </m:rPr>
              <w:rPr>
                <w:rFonts w:ascii="Times New Roman" w:hAnsi="Times New Roman"/>
                <w:b w:val="0"/>
                <w:i w:val="0"/>
              </w:rPr>
              <m:t>1</m:t>
            </m:r>
            <m:ctrlPr>
              <w:rPr>
                <w:rFonts w:ascii="Cambria Math" w:hAnsi="Cambria Math"/>
                <w:i/>
              </w:rPr>
            </m:ctrlPr>
          </m:num>
          <m:den>
            <m:r>
              <m:rPr>
                <m:nor/>
              </m:rPr>
              <w:rPr>
                <w:rFonts w:ascii="Times New Roman" w:hAnsi="Times New Roman"/>
                <w:i/>
              </w:rPr>
              <m:t>N</m:t>
            </m:r>
            <m:ctrlPr>
              <w:rPr>
                <w:rFonts w:ascii="Cambria Math" w:hAnsi="Cambria Math"/>
                <w:i/>
              </w:rPr>
            </m:ctrlPr>
          </m:den>
        </m:f>
        <m:nary>
          <m:naryPr>
            <m:chr m:val="∑"/>
            <m:ctrlPr>
              <w:rPr>
                <w:rFonts w:ascii="Cambria Math" w:hAnsi="Cambria Math"/>
                <w:i/>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rPr>
            </m:ctrlPr>
          </m:sub>
          <m:sup>
            <m:r>
              <m:rPr>
                <m:nor/>
              </m:rPr>
              <w:rPr>
                <w:rFonts w:ascii="Times New Roman" w:hAnsi="Times New Roman"/>
                <w:i/>
              </w:rPr>
              <m:t>N</m:t>
            </m:r>
            <m:ctrlPr>
              <w:rPr>
                <w:rFonts w:ascii="Cambria Math" w:hAnsi="Cambria Math"/>
                <w:i/>
              </w:rPr>
            </m:ctrlPr>
          </m:sup>
          <m:e>
            <m:sSub>
              <m:sSubPr>
                <m:ctrlPr>
                  <w:rPr>
                    <w:rFonts w:ascii="Cambria Math" w:hAnsi="Cambria Math"/>
                    <w:i/>
                  </w:rPr>
                </m:ctrlPr>
              </m:sSubPr>
              <m:e>
                <m:r>
                  <m:rPr>
                    <m:nor/>
                  </m:rPr>
                  <w:rPr>
                    <w:rFonts w:ascii="Times New Roman" w:hAnsi="Times New Roman"/>
                    <w:i/>
                  </w:rPr>
                  <m:t>x</m:t>
                </m:r>
                <m:ctrlPr>
                  <w:rPr>
                    <w:rFonts w:ascii="Cambria Math" w:hAnsi="Cambria Math"/>
                    <w:i/>
                  </w:rPr>
                </m:ctrlPr>
              </m:e>
              <m:sub>
                <m:r>
                  <m:rPr>
                    <m:nor/>
                  </m:rPr>
                  <w:rPr>
                    <w:rFonts w:ascii="Times New Roman" w:hAnsi="Times New Roman"/>
                    <w:i/>
                  </w:rPr>
                  <m:t>i</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w:t>
      </w:r>
    </w:p>
    <w:p w14:paraId="16B758A1">
      <w:pPr>
        <w:pStyle w:val="114"/>
        <w:rPr>
          <w:rFonts w:ascii="Times New Roman" w:hAnsi="Times New Roman"/>
        </w:rPr>
      </w:pPr>
      <w:r>
        <w:rPr>
          <w:rFonts w:ascii="Times New Roman" w:hAnsi="Times New Roman"/>
        </w:rPr>
        <w:tab/>
      </w:r>
      <m:oMath>
        <m:r>
          <m:rPr>
            <m:nor/>
          </m:rPr>
          <w:rPr>
            <w:rFonts w:ascii="Times New Roman" w:hAnsi="Times New Roman"/>
            <w:i/>
          </w:rPr>
          <m:t>σ</m:t>
        </m:r>
        <m:r>
          <m:rPr>
            <m:nor/>
            <m:sty m:val="p"/>
          </m:rPr>
          <w:rPr>
            <w:rFonts w:ascii="Times New Roman" w:hAnsi="Times New Roman"/>
            <w:b w:val="0"/>
            <w:i w:val="0"/>
          </w:rPr>
          <m:t>=</m:t>
        </m:r>
        <m:rad>
          <m:radPr>
            <m:degHide m:val="1"/>
            <m:ctrlPr>
              <w:rPr>
                <w:rFonts w:ascii="Cambria Math" w:hAnsi="Cambria Math"/>
                <w:i/>
                <w:iCs/>
              </w:rPr>
            </m:ctrlPr>
          </m:radPr>
          <m:deg>
            <m:ctrlPr>
              <w:rPr>
                <w:rFonts w:ascii="Cambria Math" w:hAnsi="Cambria Math"/>
                <w:i/>
                <w:iCs/>
              </w:rPr>
            </m:ctrlPr>
          </m:deg>
          <m:e>
            <m:f>
              <m:fPr>
                <m:ctrlPr>
                  <w:rPr>
                    <w:rFonts w:ascii="Cambria Math" w:hAnsi="Cambria Math"/>
                    <w:i/>
                    <w:iCs/>
                  </w:rPr>
                </m:ctrlPr>
              </m:fPr>
              <m:num>
                <m:r>
                  <m:rPr>
                    <m:nor/>
                    <m:sty m:val="p"/>
                  </m:rPr>
                  <w:rPr>
                    <w:rFonts w:ascii="Times New Roman" w:hAnsi="Times New Roman"/>
                    <w:b w:val="0"/>
                    <w:i w:val="0"/>
                  </w:rPr>
                  <m:t>1</m:t>
                </m:r>
                <m:ctrlPr>
                  <w:rPr>
                    <w:rFonts w:ascii="Cambria Math" w:hAnsi="Cambria Math"/>
                    <w:i/>
                    <w:iCs/>
                  </w:rPr>
                </m:ctrlPr>
              </m:num>
              <m:den>
                <m:r>
                  <m:rPr>
                    <m:nor/>
                  </m:rPr>
                  <w:rPr>
                    <w:rFonts w:ascii="Times New Roman" w:hAnsi="Times New Roman"/>
                    <w:i/>
                  </w:rPr>
                  <m:t>N</m:t>
                </m:r>
                <m:ctrlPr>
                  <w:rPr>
                    <w:rFonts w:ascii="Cambria Math" w:hAnsi="Cambria Math"/>
                    <w:i/>
                    <w:iCs/>
                  </w:rPr>
                </m:ctrlPr>
              </m:den>
            </m:f>
            <m:nary>
              <m:naryPr>
                <m:chr m:val="∑"/>
                <m:ctrlPr>
                  <w:rPr>
                    <w:rFonts w:ascii="Cambria Math" w:hAnsi="Cambria Math"/>
                    <w:i/>
                    <w:iCs/>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iCs/>
                  </w:rPr>
                </m:ctrlPr>
              </m:sub>
              <m:sup>
                <m:r>
                  <m:rPr>
                    <m:nor/>
                  </m:rPr>
                  <w:rPr>
                    <w:rFonts w:ascii="Times New Roman" w:hAnsi="Times New Roman"/>
                    <w:i/>
                  </w:rPr>
                  <m:t>N</m:t>
                </m:r>
                <m:ctrlPr>
                  <w:rPr>
                    <w:rFonts w:ascii="Cambria Math" w:hAnsi="Cambria Math"/>
                    <w:i/>
                    <w:iCs/>
                  </w:rPr>
                </m:ctrlPr>
              </m:sup>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m:rPr>
                                <m:nor/>
                              </m:rPr>
                              <w:rPr>
                                <w:rFonts w:ascii="Times New Roman" w:hAnsi="Times New Roman"/>
                                <w:i/>
                              </w:rPr>
                              <m:t>x</m:t>
                            </m:r>
                            <m:ctrlPr>
                              <w:rPr>
                                <w:rFonts w:ascii="Cambria Math" w:hAnsi="Cambria Math"/>
                                <w:i/>
                                <w:iCs/>
                              </w:rPr>
                            </m:ctrlPr>
                          </m:e>
                          <m:sub>
                            <m:r>
                              <m:rPr>
                                <m:nor/>
                              </m:rPr>
                              <w:rPr>
                                <w:rFonts w:ascii="Times New Roman" w:hAnsi="Times New Roman"/>
                                <w:i/>
                              </w:rPr>
                              <m:t>i</m:t>
                            </m:r>
                            <m:ctrlPr>
                              <w:rPr>
                                <w:rFonts w:ascii="Cambria Math" w:hAnsi="Cambria Math"/>
                                <w:i/>
                                <w:iCs/>
                              </w:rPr>
                            </m:ctrlPr>
                          </m:sub>
                        </m:sSub>
                        <m:r>
                          <m:rPr>
                            <m:nor/>
                            <m:sty m:val="p"/>
                          </m:rPr>
                          <w:rPr>
                            <w:rFonts w:ascii="Times New Roman" w:hAnsi="Times New Roman"/>
                            <w:b w:val="0"/>
                            <w:i w:val="0"/>
                          </w:rPr>
                          <m:t>-</m:t>
                        </m:r>
                        <m:bar>
                          <m:barPr>
                            <m:pos m:val="top"/>
                            <m:ctrlPr>
                              <w:rPr>
                                <w:rFonts w:ascii="Cambria Math" w:hAnsi="Cambria Math"/>
                                <w:i/>
                                <w:iCs/>
                              </w:rPr>
                            </m:ctrlPr>
                          </m:barPr>
                          <m:e>
                            <m:r>
                              <m:rPr>
                                <m:nor/>
                              </m:rPr>
                              <w:rPr>
                                <w:rFonts w:ascii="Times New Roman" w:hAnsi="Times New Roman"/>
                                <w:i/>
                              </w:rPr>
                              <m:t>x</m:t>
                            </m:r>
                            <m:ctrlPr>
                              <w:rPr>
                                <w:rFonts w:ascii="Cambria Math" w:hAnsi="Cambria Math"/>
                                <w:i/>
                                <w:iCs/>
                              </w:rPr>
                            </m:ctrlPr>
                          </m:e>
                        </m:bar>
                        <m:ctrlPr>
                          <w:rPr>
                            <w:rFonts w:ascii="Cambria Math" w:hAnsi="Cambria Math"/>
                            <w:i/>
                            <w:iCs/>
                          </w:rPr>
                        </m:ctrlPr>
                      </m:e>
                    </m:d>
                    <m:ctrlPr>
                      <w:rPr>
                        <w:rFonts w:ascii="Cambria Math" w:hAnsi="Cambria Math"/>
                        <w:i/>
                        <w:iCs/>
                      </w:rPr>
                    </m:ctrlPr>
                  </m:e>
                  <m:sup>
                    <m:r>
                      <m:rPr>
                        <m:nor/>
                        <m:sty m:val="p"/>
                      </m:rPr>
                      <w:rPr>
                        <w:rFonts w:ascii="Times New Roman" w:hAnsi="Times New Roman"/>
                        <w:b w:val="0"/>
                        <w:i w:val="0"/>
                      </w:rPr>
                      <m:t>2</m:t>
                    </m:r>
                    <m:ctrlPr>
                      <w:rPr>
                        <w:rFonts w:ascii="Cambria Math" w:hAnsi="Cambria Math"/>
                        <w:i/>
                        <w:iCs/>
                      </w:rPr>
                    </m:ctrlPr>
                  </m:sup>
                </m:sSup>
                <m:ctrlPr>
                  <w:rPr>
                    <w:rFonts w:ascii="Cambria Math" w:hAnsi="Cambria Math"/>
                    <w:i/>
                    <w:iCs/>
                  </w:rPr>
                </m:ctrlPr>
              </m:e>
            </m:nary>
            <m:ctrlPr>
              <w:rPr>
                <w:rFonts w:ascii="Cambria Math" w:hAnsi="Cambria Math"/>
                <w:i/>
                <w:iCs/>
              </w:rPr>
            </m:ctrlPr>
          </m:e>
        </m:rad>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w:t>
      </w:r>
    </w:p>
    <w:p w14:paraId="12CFE897">
      <w:pPr>
        <w:pStyle w:val="57"/>
        <w:ind w:firstLine="420"/>
      </w:pPr>
      <w:r>
        <w:t>式中：</w:t>
      </w:r>
    </w:p>
    <w:p w14:paraId="4D1AA300">
      <w:pPr>
        <w:pStyle w:val="57"/>
        <w:ind w:firstLine="420"/>
      </w:pPr>
      <w:r>
        <w:drawing>
          <wp:inline distT="0" distB="0" distL="114300" distR="114300">
            <wp:extent cx="153670" cy="233680"/>
            <wp:effectExtent l="0" t="0" r="0" b="12065"/>
            <wp:docPr id="16" name="图片 27"/>
            <wp:cNvGraphicFramePr/>
            <a:graphic xmlns:a="http://schemas.openxmlformats.org/drawingml/2006/main">
              <a:graphicData uri="http://schemas.openxmlformats.org/drawingml/2006/picture">
                <pic:pic xmlns:pic="http://schemas.openxmlformats.org/drawingml/2006/picture">
                  <pic:nvPicPr>
                    <pic:cNvPr id="16" name="图片 27"/>
                    <pic:cNvPicPr/>
                  </pic:nvPicPr>
                  <pic:blipFill>
                    <a:blip r:embed="rId26"/>
                    <a:stretch>
                      <a:fillRect/>
                    </a:stretch>
                  </pic:blipFill>
                  <pic:spPr>
                    <a:xfrm>
                      <a:off x="0" y="0"/>
                      <a:ext cx="153670" cy="233680"/>
                    </a:xfrm>
                    <a:prstGeom prst="rect">
                      <a:avLst/>
                    </a:prstGeom>
                    <a:noFill/>
                    <a:ln>
                      <a:noFill/>
                    </a:ln>
                  </pic:spPr>
                </pic:pic>
              </a:graphicData>
            </a:graphic>
          </wp:inline>
        </w:drawing>
      </w:r>
      <w:r>
        <w:t>——第</w:t>
      </w:r>
      <w:r>
        <w:drawing>
          <wp:inline distT="0" distB="0" distL="114300" distR="114300">
            <wp:extent cx="87630" cy="168275"/>
            <wp:effectExtent l="0" t="0" r="3810" b="0"/>
            <wp:docPr id="15" name="图片 28"/>
            <wp:cNvGraphicFramePr/>
            <a:graphic xmlns:a="http://schemas.openxmlformats.org/drawingml/2006/main">
              <a:graphicData uri="http://schemas.openxmlformats.org/drawingml/2006/picture">
                <pic:pic xmlns:pic="http://schemas.openxmlformats.org/drawingml/2006/picture">
                  <pic:nvPicPr>
                    <pic:cNvPr id="15" name="图片 28"/>
                    <pic:cNvPicPr/>
                  </pic:nvPicPr>
                  <pic:blipFill>
                    <a:blip r:embed="rId27"/>
                    <a:stretch>
                      <a:fillRect/>
                    </a:stretch>
                  </pic:blipFill>
                  <pic:spPr>
                    <a:xfrm>
                      <a:off x="0" y="0"/>
                      <a:ext cx="87630" cy="168275"/>
                    </a:xfrm>
                    <a:prstGeom prst="rect">
                      <a:avLst/>
                    </a:prstGeom>
                    <a:noFill/>
                    <a:ln>
                      <a:noFill/>
                    </a:ln>
                  </pic:spPr>
                </pic:pic>
              </a:graphicData>
            </a:graphic>
          </wp:inline>
        </w:drawing>
      </w:r>
      <w:r>
        <w:t>个样本的反演数据；</w:t>
      </w:r>
    </w:p>
    <w:p w14:paraId="11EC0F0B">
      <w:pPr>
        <w:pStyle w:val="57"/>
        <w:ind w:firstLine="420"/>
      </w:pPr>
      <w:r>
        <w:rPr>
          <w:position w:val="-6"/>
        </w:rPr>
        <w:object>
          <v:shape id="_x0000_i1025" o:spt="75" type="#_x0000_t75" style="height:10.95pt;width:11.85pt;" o:ole="t" filled="f" o:preferrelative="t" stroked="f" coordsize="21600,21600">
            <v:path/>
            <v:fill on="f" focussize="0,0"/>
            <v:stroke on="f" joinstyle="miter"/>
            <v:imagedata r:id="rId29" o:title=""/>
            <o:lock v:ext="edit" aspectratio="t"/>
            <w10:wrap type="none"/>
            <w10:anchorlock/>
          </v:shape>
          <o:OLEObject Type="Embed" ProgID="Equation.KSEE3" ShapeID="_x0000_i1025" DrawAspect="Content" ObjectID="_1468075725" r:id="rId28">
            <o:LockedField>false</o:LockedField>
          </o:OLEObject>
        </w:object>
      </w:r>
      <w:r>
        <w:t>——标准差。</w:t>
      </w:r>
    </w:p>
    <w:p w14:paraId="2809DCE2">
      <w:pPr>
        <w:pStyle w:val="57"/>
        <w:ind w:firstLine="420"/>
      </w:pPr>
      <w:r>
        <w:t>将模型反演得到的水质参数数据与实测数据进行对比，利用标准差法剔除掉反演异常的数据，将反演正常的数据与实测数据作为水质参数反演模型的输入，通过迭代进一步优化反演模型，其中样本数量不少于100个。</w:t>
      </w:r>
    </w:p>
    <w:p w14:paraId="1D6B934F">
      <w:pPr>
        <w:pStyle w:val="106"/>
        <w:spacing w:before="120" w:after="120"/>
        <w:rPr>
          <w:rFonts w:ascii="Times New Roman"/>
        </w:rPr>
      </w:pPr>
      <w:bookmarkStart w:id="59" w:name="_Toc27348"/>
      <w:r>
        <w:rPr>
          <w:rFonts w:ascii="Times New Roman"/>
        </w:rPr>
        <w:t>综合营养指数状态计算</w:t>
      </w:r>
      <w:bookmarkEnd w:id="59"/>
    </w:p>
    <w:p w14:paraId="42FF02EF">
      <w:pPr>
        <w:pStyle w:val="57"/>
        <w:ind w:firstLine="420"/>
      </w:pPr>
      <w:r>
        <w:t>（1）评价方法</w:t>
      </w:r>
    </w:p>
    <w:p w14:paraId="4C205E5E">
      <w:pPr>
        <w:pStyle w:val="57"/>
        <w:ind w:firstLine="420"/>
      </w:pPr>
      <w:r>
        <w:t>采用综合营养状态指数法（TLI（∑））。</w:t>
      </w:r>
    </w:p>
    <w:p w14:paraId="10D12A4C">
      <w:pPr>
        <w:pStyle w:val="57"/>
        <w:ind w:firstLine="420"/>
      </w:pPr>
      <w:r>
        <w:t>（2）城市深水湖库综合营养状态分级</w:t>
      </w:r>
    </w:p>
    <w:p w14:paraId="43505989">
      <w:pPr>
        <w:pStyle w:val="57"/>
        <w:ind w:firstLine="420"/>
      </w:pPr>
      <w:r>
        <w:t>采用0～100的一系列连续数字对城市深水湖库营养状态进行分级：</w:t>
      </w:r>
    </w:p>
    <w:p w14:paraId="7C87B1E2">
      <w:pPr>
        <w:pStyle w:val="57"/>
        <w:ind w:firstLine="3360" w:firstLineChars="1600"/>
        <w:jc w:val="left"/>
      </w:pPr>
      <w:r>
        <w:t>TLI（∑）＜30        贫营养；</w:t>
      </w:r>
    </w:p>
    <w:p w14:paraId="7CC0387D">
      <w:pPr>
        <w:pStyle w:val="57"/>
        <w:ind w:firstLine="3360" w:firstLineChars="1600"/>
        <w:jc w:val="left"/>
      </w:pPr>
      <w:r>
        <w:t>30≤TLI（∑）≤50    中营养；</w:t>
      </w:r>
    </w:p>
    <w:p w14:paraId="75440A52">
      <w:pPr>
        <w:pStyle w:val="57"/>
        <w:ind w:firstLine="3360" w:firstLineChars="1600"/>
        <w:jc w:val="left"/>
      </w:pPr>
      <w:r>
        <w:t>TLI（∑）＞50        富营养；</w:t>
      </w:r>
    </w:p>
    <w:p w14:paraId="4E4CCFD1">
      <w:pPr>
        <w:pStyle w:val="57"/>
        <w:ind w:firstLine="3360" w:firstLineChars="1600"/>
        <w:jc w:val="left"/>
      </w:pPr>
      <w:r>
        <w:t>50＜TLI（∑）≤60    轻度富营养；</w:t>
      </w:r>
    </w:p>
    <w:p w14:paraId="73CD71A5">
      <w:pPr>
        <w:pStyle w:val="57"/>
        <w:ind w:firstLine="3360" w:firstLineChars="1600"/>
        <w:jc w:val="left"/>
      </w:pPr>
      <w:r>
        <w:t>60＜TLI（∑）≤70    中度富营养；</w:t>
      </w:r>
    </w:p>
    <w:p w14:paraId="2B8DB649">
      <w:pPr>
        <w:pStyle w:val="57"/>
        <w:ind w:firstLine="3360" w:firstLineChars="1600"/>
        <w:jc w:val="left"/>
      </w:pPr>
      <w:r>
        <w:t>TLI（∑）＞70        重度富营养。</w:t>
      </w:r>
    </w:p>
    <w:p w14:paraId="7696E55C">
      <w:pPr>
        <w:pStyle w:val="57"/>
        <w:ind w:firstLine="420"/>
      </w:pPr>
      <w:r>
        <w:t>（3）综合营养状态指数计算</w:t>
      </w:r>
    </w:p>
    <w:p w14:paraId="15E9E845">
      <w:pPr>
        <w:spacing w:after="160" w:line="278" w:lineRule="auto"/>
        <w:ind w:firstLine="480"/>
        <w:jc w:val="left"/>
        <w:rPr>
          <w:rFonts w:ascii="Times New Roman" w:hAnsi="Times New Roman"/>
          <w:kern w:val="0"/>
        </w:rPr>
      </w:pPr>
      <w:r>
        <w:rPr>
          <w:rFonts w:ascii="Times New Roman" w:hAnsi="Times New Roman"/>
        </w:rPr>
        <w:t>综合营养状态指数计算公式为：</w:t>
      </w:r>
    </w:p>
    <w:p w14:paraId="49805DA2">
      <w:pPr>
        <w:pStyle w:val="114"/>
        <w:rPr>
          <w:rFonts w:ascii="Times New Roman" w:hAnsi="Times New Roman"/>
        </w:rPr>
      </w:pPr>
      <w:r>
        <w:rPr>
          <w:rFonts w:ascii="Times New Roman" w:hAnsi="Times New Roman"/>
        </w:rPr>
        <w:tab/>
      </w:r>
      <m:oMath>
        <m:r>
          <m:rPr>
            <m:nor/>
            <m:sty m:val="p"/>
          </m:rPr>
          <w:rPr>
            <w:rFonts w:ascii="Times New Roman" w:hAnsi="Times New Roman" w:eastAsia="等线"/>
            <w:b w:val="0"/>
            <w:i w:val="0"/>
            <w:sz w:val="22"/>
            <w:szCs w:val="24"/>
          </w:rPr>
          <m:t>TLI（∑）=</m:t>
        </m:r>
        <m:nary>
          <m:naryPr>
            <m:chr m:val="∑"/>
            <m:limLoc m:val="undOvr"/>
            <m:subHide m:val="1"/>
            <m:supHide m:val="1"/>
            <m:ctrlPr>
              <w:rPr>
                <w:rFonts w:ascii="Cambria Math" w:hAnsi="Cambria Math" w:eastAsia="等线"/>
                <w:sz w:val="22"/>
                <w:szCs w:val="24"/>
              </w:rPr>
            </m:ctrlPr>
          </m:naryPr>
          <m:sub>
            <m:ctrlPr>
              <w:rPr>
                <w:rFonts w:ascii="Cambria Math" w:hAnsi="Cambria Math" w:eastAsia="等线"/>
                <w:sz w:val="22"/>
                <w:szCs w:val="24"/>
              </w:rPr>
            </m:ctrlPr>
          </m:sub>
          <m:sup>
            <m:ctrlPr>
              <w:rPr>
                <w:rFonts w:ascii="Cambria Math" w:hAnsi="Cambria Math" w:eastAsia="等线"/>
                <w:sz w:val="22"/>
                <w:szCs w:val="24"/>
              </w:rPr>
            </m:ctrlPr>
          </m:sup>
          <m:e>
            <m:r>
              <m:rPr>
                <m:nor/>
              </m:rPr>
              <w:rPr>
                <w:rFonts w:ascii="Times New Roman" w:hAnsi="Times New Roman" w:eastAsia="等线"/>
                <w:i/>
                <w:sz w:val="22"/>
                <w:szCs w:val="24"/>
              </w:rPr>
              <m:t>Wj</m:t>
            </m:r>
            <m:r>
              <m:rPr>
                <m:nor/>
                <m:sty m:val="p"/>
              </m:rPr>
              <w:rPr>
                <w:rFonts w:ascii="Times New Roman" w:hAnsi="Times New Roman" w:eastAsia="等线"/>
                <w:b w:val="0"/>
                <w:i w:val="0"/>
                <w:sz w:val="22"/>
                <w:szCs w:val="24"/>
              </w:rPr>
              <m:t xml:space="preserve"> </m:t>
            </m:r>
            <m:r>
              <m:rPr>
                <m:nor/>
              </m:rPr>
              <w:rPr>
                <w:rFonts w:ascii="Times New Roman" w:hAnsi="Times New Roman" w:eastAsia="等线"/>
                <w:i/>
                <w:sz w:val="22"/>
                <w:szCs w:val="24"/>
              </w:rPr>
              <m:t>TLI</m:t>
            </m:r>
            <m:r>
              <m:rPr>
                <m:nor/>
                <m:sty m:val="p"/>
              </m:rPr>
              <w:rPr>
                <w:rFonts w:hint="default" w:ascii="Times New Roman" w:hAnsi="Times New Roman" w:eastAsia="等线"/>
                <w:b w:val="0"/>
                <w:i w:val="0"/>
                <w:sz w:val="22"/>
                <w:szCs w:val="24"/>
                <w:lang w:eastAsia="zh-CN"/>
              </w:rPr>
              <m:t>(</m:t>
            </m:r>
            <m:r>
              <m:rPr>
                <m:nor/>
                <m:sty m:val="p"/>
              </m:rPr>
              <w:rPr>
                <w:rFonts w:ascii="Times New Roman" w:hAnsi="Times New Roman" w:eastAsia="等线"/>
                <w:b w:val="0"/>
                <w:i w:val="0"/>
                <w:sz w:val="22"/>
                <w:szCs w:val="24"/>
              </w:rPr>
              <m:t>j</m:t>
            </m:r>
            <m:r>
              <m:rPr>
                <m:nor/>
                <m:sty m:val="p"/>
              </m:rPr>
              <w:rPr>
                <w:rFonts w:hint="default" w:ascii="Times New Roman" w:hAnsi="Times New Roman" w:eastAsia="等线"/>
                <w:b w:val="0"/>
                <w:i w:val="0"/>
                <w:sz w:val="22"/>
                <w:szCs w:val="24"/>
                <w:lang w:eastAsia="zh-CN"/>
              </w:rPr>
              <m:t>)</m:t>
            </m:r>
            <m:ctrlPr>
              <w:rPr>
                <w:rFonts w:ascii="Cambria Math" w:hAnsi="Cambria Math" w:eastAsia="等线"/>
                <w:sz w:val="22"/>
                <w:szCs w:val="24"/>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w:t>
      </w:r>
    </w:p>
    <w:p w14:paraId="5C94DD07">
      <w:pPr>
        <w:pStyle w:val="56"/>
        <w:ind w:firstLine="420"/>
        <w:rPr>
          <w:rFonts w:ascii="Times New Roman" w:hAnsi="Times New Roman"/>
        </w:rPr>
      </w:pPr>
    </w:p>
    <w:p w14:paraId="55F032D4">
      <w:pPr>
        <w:pStyle w:val="57"/>
        <w:ind w:firstLine="420"/>
      </w:pPr>
      <w:r>
        <w:t>式中：</w:t>
      </w:r>
    </w:p>
    <w:p w14:paraId="7ADACE52">
      <w:pPr>
        <w:pStyle w:val="57"/>
        <w:ind w:firstLine="420"/>
      </w:pPr>
      <w:r>
        <w:t>TLI（∑）——综合营养状态指数；</w:t>
      </w:r>
    </w:p>
    <w:p w14:paraId="372A21CA">
      <w:pPr>
        <w:pStyle w:val="57"/>
        <w:ind w:firstLine="420"/>
      </w:pPr>
      <w:r>
        <w:t>Wj——第j种参数的营养化状态指数的相关权重；</w:t>
      </w:r>
    </w:p>
    <w:p w14:paraId="665F21EA">
      <w:pPr>
        <w:pStyle w:val="57"/>
        <w:ind w:firstLine="420"/>
      </w:pPr>
      <w:r>
        <w:t>TLI(j)——代表第j种参数的营养状态指数。</w:t>
      </w:r>
    </w:p>
    <w:p w14:paraId="6AA4FE8C">
      <w:pPr>
        <w:pStyle w:val="57"/>
        <w:ind w:firstLine="420"/>
      </w:pPr>
      <w:r>
        <w:t>其中，Wj可由一些评价参数作为基准参数，对其他评价参数进行相关分析后，对相关系数归一化得出：</w:t>
      </w:r>
    </w:p>
    <w:p w14:paraId="56C63A51">
      <w:pPr>
        <w:pStyle w:val="114"/>
        <w:rPr>
          <w:rFonts w:ascii="Times New Roman" w:hAnsi="Times New Roman"/>
        </w:rPr>
      </w:pPr>
      <w:r>
        <w:rPr>
          <w:rFonts w:ascii="Times New Roman" w:hAnsi="Times New Roman"/>
        </w:rPr>
        <w:tab/>
      </w:r>
      <m:oMath>
        <m:sSub>
          <m:sSubPr>
            <m:ctrlPr>
              <w:rPr>
                <w:rFonts w:ascii="Cambria Math" w:hAnsi="Cambria Math"/>
                <w:i/>
                <w:kern w:val="0"/>
                <w:sz w:val="24"/>
                <w:szCs w:val="24"/>
              </w:rPr>
            </m:ctrlPr>
          </m:sSubPr>
          <m:e>
            <m:r>
              <m:rPr>
                <m:nor/>
              </m:rPr>
              <w:rPr>
                <w:rFonts w:ascii="Times New Roman" w:hAnsi="Times New Roman"/>
                <w:i/>
                <w:kern w:val="0"/>
                <w:sz w:val="24"/>
                <w:szCs w:val="24"/>
              </w:rPr>
              <m:t>W</m:t>
            </m:r>
            <m:ctrlPr>
              <w:rPr>
                <w:rFonts w:ascii="Cambria Math" w:hAnsi="Cambria Math"/>
                <w:i/>
                <w:kern w:val="0"/>
                <w:sz w:val="24"/>
                <w:szCs w:val="24"/>
              </w:rPr>
            </m:ctrlPr>
          </m:e>
          <m:sub>
            <m:r>
              <m:rPr>
                <m:nor/>
              </m:rPr>
              <w:rPr>
                <w:rFonts w:ascii="Times New Roman" w:hAnsi="Times New Roman"/>
                <w:i/>
                <w:kern w:val="0"/>
                <w:sz w:val="24"/>
                <w:szCs w:val="24"/>
              </w:rPr>
              <m:t>j</m:t>
            </m:r>
            <m:ctrlPr>
              <w:rPr>
                <w:rFonts w:ascii="Cambria Math" w:hAnsi="Cambria Math"/>
                <w:i/>
                <w:kern w:val="0"/>
                <w:sz w:val="24"/>
                <w:szCs w:val="24"/>
              </w:rPr>
            </m:ctrlPr>
          </m:sub>
        </m:sSub>
        <m:r>
          <m:rPr>
            <m:nor/>
            <m:sty m:val="p"/>
          </m:rPr>
          <w:rPr>
            <w:rFonts w:ascii="Times New Roman" w:hAnsi="Times New Roman"/>
            <w:b w:val="0"/>
            <w:i w:val="0"/>
            <w:kern w:val="0"/>
            <w:sz w:val="24"/>
            <w:szCs w:val="24"/>
          </w:rPr>
          <m:t>=</m:t>
        </m:r>
        <m:f>
          <m:fPr>
            <m:ctrlPr>
              <w:rPr>
                <w:rFonts w:ascii="Cambria Math" w:hAnsi="Cambria Math"/>
                <w:i/>
                <w:kern w:val="0"/>
                <w:sz w:val="24"/>
                <w:szCs w:val="24"/>
              </w:rPr>
            </m:ctrlPr>
          </m:fPr>
          <m:num>
            <m:sSubSup>
              <m:sSubSupPr>
                <m:ctrlPr>
                  <w:rPr>
                    <w:rFonts w:ascii="Cambria Math" w:hAnsi="Cambria Math"/>
                    <w:i/>
                    <w:kern w:val="0"/>
                    <w:sz w:val="24"/>
                    <w:szCs w:val="24"/>
                  </w:rPr>
                </m:ctrlPr>
              </m:sSubSupPr>
              <m:e>
                <m:r>
                  <m:rPr>
                    <m:nor/>
                  </m:rPr>
                  <w:rPr>
                    <w:rFonts w:ascii="Times New Roman" w:hAnsi="Times New Roman"/>
                    <w:i/>
                    <w:kern w:val="0"/>
                    <w:sz w:val="24"/>
                    <w:szCs w:val="24"/>
                  </w:rPr>
                  <m:t>r</m:t>
                </m:r>
                <m:ctrlPr>
                  <w:rPr>
                    <w:rFonts w:ascii="Cambria Math" w:hAnsi="Cambria Math"/>
                    <w:i/>
                    <w:kern w:val="0"/>
                    <w:sz w:val="24"/>
                    <w:szCs w:val="24"/>
                  </w:rPr>
                </m:ctrlPr>
              </m:e>
              <m:sub>
                <m:r>
                  <m:rPr>
                    <m:nor/>
                  </m:rPr>
                  <w:rPr>
                    <w:rFonts w:ascii="Times New Roman" w:hAnsi="Times New Roman"/>
                    <w:i/>
                    <w:kern w:val="0"/>
                    <w:sz w:val="24"/>
                    <w:szCs w:val="24"/>
                  </w:rPr>
                  <m:t>ij</m:t>
                </m:r>
                <m:ctrlPr>
                  <w:rPr>
                    <w:rFonts w:ascii="Cambria Math" w:hAnsi="Cambria Math"/>
                    <w:i/>
                    <w:kern w:val="0"/>
                    <w:sz w:val="24"/>
                    <w:szCs w:val="24"/>
                  </w:rPr>
                </m:ctrlPr>
              </m:sub>
              <m:sup>
                <m:r>
                  <m:rPr>
                    <m:nor/>
                    <m:sty m:val="p"/>
                  </m:rPr>
                  <w:rPr>
                    <w:rFonts w:ascii="Times New Roman" w:hAnsi="Times New Roman"/>
                    <w:b w:val="0"/>
                    <w:i w:val="0"/>
                    <w:kern w:val="0"/>
                    <w:sz w:val="24"/>
                    <w:szCs w:val="24"/>
                  </w:rPr>
                  <m:t>2</m:t>
                </m:r>
                <m:ctrlPr>
                  <w:rPr>
                    <w:rFonts w:ascii="Cambria Math" w:hAnsi="Cambria Math"/>
                    <w:i/>
                    <w:kern w:val="0"/>
                    <w:sz w:val="24"/>
                    <w:szCs w:val="24"/>
                  </w:rPr>
                </m:ctrlPr>
              </m:sup>
            </m:sSubSup>
            <m:ctrlPr>
              <w:rPr>
                <w:rFonts w:ascii="Cambria Math" w:hAnsi="Cambria Math"/>
                <w:i/>
                <w:kern w:val="0"/>
                <w:sz w:val="24"/>
                <w:szCs w:val="24"/>
              </w:rPr>
            </m:ctrlPr>
          </m:num>
          <m:den>
            <m:nary>
              <m:naryPr>
                <m:chr m:val="∑"/>
                <m:limLoc m:val="undOvr"/>
                <m:subHide m:val="1"/>
                <m:supHide m:val="1"/>
                <m:ctrlPr>
                  <w:rPr>
                    <w:rFonts w:ascii="Cambria Math" w:hAnsi="Cambria Math"/>
                    <w:i/>
                    <w:kern w:val="0"/>
                    <w:sz w:val="24"/>
                    <w:szCs w:val="24"/>
                  </w:rPr>
                </m:ctrlPr>
              </m:naryPr>
              <m:sub>
                <m:ctrlPr>
                  <w:rPr>
                    <w:rFonts w:ascii="Cambria Math" w:hAnsi="Cambria Math"/>
                    <w:i/>
                    <w:kern w:val="0"/>
                    <w:sz w:val="24"/>
                    <w:szCs w:val="24"/>
                  </w:rPr>
                </m:ctrlPr>
              </m:sub>
              <m:sup>
                <m:ctrlPr>
                  <w:rPr>
                    <w:rFonts w:ascii="Cambria Math" w:hAnsi="Cambria Math"/>
                    <w:i/>
                    <w:kern w:val="0"/>
                    <w:sz w:val="24"/>
                    <w:szCs w:val="24"/>
                  </w:rPr>
                </m:ctrlPr>
              </m:sup>
              <m:e>
                <m:sSubSup>
                  <m:sSubSupPr>
                    <m:ctrlPr>
                      <w:rPr>
                        <w:rFonts w:ascii="Cambria Math" w:hAnsi="Cambria Math"/>
                        <w:i/>
                        <w:kern w:val="0"/>
                        <w:sz w:val="24"/>
                        <w:szCs w:val="24"/>
                      </w:rPr>
                    </m:ctrlPr>
                  </m:sSubSupPr>
                  <m:e>
                    <m:r>
                      <m:rPr>
                        <m:nor/>
                      </m:rPr>
                      <w:rPr>
                        <w:rFonts w:ascii="Times New Roman" w:hAnsi="Times New Roman"/>
                        <w:i/>
                        <w:kern w:val="0"/>
                        <w:sz w:val="24"/>
                        <w:szCs w:val="24"/>
                      </w:rPr>
                      <m:t>r</m:t>
                    </m:r>
                    <m:ctrlPr>
                      <w:rPr>
                        <w:rFonts w:ascii="Cambria Math" w:hAnsi="Cambria Math"/>
                        <w:i/>
                        <w:kern w:val="0"/>
                        <w:sz w:val="24"/>
                        <w:szCs w:val="24"/>
                      </w:rPr>
                    </m:ctrlPr>
                  </m:e>
                  <m:sub>
                    <m:r>
                      <m:rPr>
                        <m:nor/>
                      </m:rPr>
                      <w:rPr>
                        <w:rFonts w:ascii="Times New Roman" w:hAnsi="Times New Roman"/>
                        <w:i/>
                        <w:kern w:val="0"/>
                        <w:sz w:val="24"/>
                        <w:szCs w:val="24"/>
                      </w:rPr>
                      <m:t>ij</m:t>
                    </m:r>
                    <m:ctrlPr>
                      <w:rPr>
                        <w:rFonts w:ascii="Cambria Math" w:hAnsi="Cambria Math"/>
                        <w:i/>
                        <w:kern w:val="0"/>
                        <w:sz w:val="24"/>
                        <w:szCs w:val="24"/>
                      </w:rPr>
                    </m:ctrlPr>
                  </m:sub>
                  <m:sup>
                    <m:r>
                      <m:rPr>
                        <m:nor/>
                        <m:sty m:val="p"/>
                      </m:rPr>
                      <w:rPr>
                        <w:rFonts w:ascii="Times New Roman" w:hAnsi="Times New Roman"/>
                        <w:b w:val="0"/>
                        <w:i w:val="0"/>
                        <w:kern w:val="0"/>
                        <w:sz w:val="24"/>
                        <w:szCs w:val="24"/>
                      </w:rPr>
                      <m:t>2</m:t>
                    </m:r>
                    <m:ctrlPr>
                      <w:rPr>
                        <w:rFonts w:ascii="Cambria Math" w:hAnsi="Cambria Math"/>
                        <w:i/>
                        <w:kern w:val="0"/>
                        <w:sz w:val="24"/>
                        <w:szCs w:val="24"/>
                      </w:rPr>
                    </m:ctrlPr>
                  </m:sup>
                </m:sSubSup>
                <m:ctrlPr>
                  <w:rPr>
                    <w:rFonts w:ascii="Cambria Math" w:hAnsi="Cambria Math"/>
                    <w:i/>
                    <w:kern w:val="0"/>
                    <w:sz w:val="24"/>
                    <w:szCs w:val="24"/>
                  </w:rPr>
                </m:ctrlPr>
              </m:e>
            </m:nary>
            <m:ctrlPr>
              <w:rPr>
                <w:rFonts w:ascii="Cambria Math" w:hAnsi="Cambria Math"/>
                <w:i/>
                <w:kern w:val="0"/>
                <w:sz w:val="24"/>
                <w:szCs w:val="24"/>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w:t>
      </w:r>
    </w:p>
    <w:p w14:paraId="0DB82021">
      <w:pPr>
        <w:pStyle w:val="57"/>
        <w:ind w:firstLine="420"/>
      </w:pPr>
      <w:r>
        <w:t>式中：</w:t>
      </w:r>
    </w:p>
    <w:p w14:paraId="6BB53846">
      <w:pPr>
        <w:pStyle w:val="57"/>
        <w:ind w:firstLine="420"/>
        <w:rPr>
          <w:szCs w:val="21"/>
        </w:rPr>
      </w:pPr>
      <w:r>
        <w:t>rij——第j种参数与基准参数chla的相关系数。</w:t>
      </w:r>
    </w:p>
    <w:p w14:paraId="223CCEAA">
      <w:pPr>
        <w:pStyle w:val="57"/>
        <w:ind w:firstLine="420"/>
      </w:pPr>
      <w:r>
        <w:t>中国湖泊（水库）的chla与其他参数之间的相关关系r</w:t>
      </w:r>
      <w:r>
        <w:rPr>
          <w:vertAlign w:val="subscript"/>
        </w:rPr>
        <w:t>ij</w:t>
      </w:r>
      <w:r>
        <w:t>及</w:t>
      </w:r>
      <w:bookmarkStart w:id="60" w:name="OLE_LINK6"/>
      <w:r>
        <w:t>r</w:t>
      </w:r>
      <w:r>
        <w:rPr>
          <w:vertAlign w:val="subscript"/>
        </w:rPr>
        <w:t>ij</w:t>
      </w:r>
      <w:r>
        <w:rPr>
          <w:vertAlign w:val="superscript"/>
        </w:rPr>
        <w:t>2</w:t>
      </w:r>
      <w:bookmarkEnd w:id="60"/>
      <w:r>
        <w:t>见表6.1：</w:t>
      </w:r>
    </w:p>
    <w:p w14:paraId="11D125B4">
      <w:pPr>
        <w:pStyle w:val="113"/>
        <w:spacing w:before="120" w:after="120"/>
        <w:rPr>
          <w:rFonts w:ascii="Times New Roman"/>
        </w:rPr>
      </w:pPr>
      <w:r>
        <w:rPr>
          <w:rFonts w:ascii="Times New Roman"/>
        </w:rPr>
        <w:t>中国湖泊（水库）部分参数与chla的相关关系r</w:t>
      </w:r>
      <w:r>
        <w:rPr>
          <w:rFonts w:ascii="Times New Roman"/>
          <w:vertAlign w:val="subscript"/>
        </w:rPr>
        <w:t>ij</w:t>
      </w:r>
      <w:r>
        <w:rPr>
          <w:rFonts w:ascii="Times New Roman"/>
        </w:rPr>
        <w:t>及r</w:t>
      </w:r>
      <w:r>
        <w:rPr>
          <w:rFonts w:ascii="Times New Roman"/>
          <w:vertAlign w:val="subscript"/>
        </w:rPr>
        <w:t>ij</w:t>
      </w:r>
      <w:r>
        <w:rPr>
          <w:rFonts w:ascii="Times New Roman"/>
          <w:vertAlign w:val="superscript"/>
        </w:rPr>
        <w:t>2</w:t>
      </w:r>
      <w:r>
        <w:rPr>
          <w:rFonts w:ascii="Times New Roman"/>
        </w:rPr>
        <w:t>值</w:t>
      </w:r>
    </w:p>
    <w:tbl>
      <w:tblPr>
        <w:tblStyle w:val="28"/>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43"/>
        <w:gridCol w:w="1199"/>
        <w:gridCol w:w="1669"/>
        <w:gridCol w:w="1669"/>
        <w:gridCol w:w="1669"/>
        <w:gridCol w:w="1781"/>
      </w:tblGrid>
      <w:tr w14:paraId="6A3FAD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720" w:type="pct"/>
            <w:tcBorders>
              <w:bottom w:val="single" w:color="auto" w:sz="8" w:space="0"/>
            </w:tcBorders>
            <w:vAlign w:val="center"/>
          </w:tcPr>
          <w:p w14:paraId="1FA02AFB">
            <w:pPr>
              <w:pStyle w:val="179"/>
            </w:pPr>
            <w:r>
              <w:t>参数</w:t>
            </w:r>
          </w:p>
        </w:tc>
        <w:tc>
          <w:tcPr>
            <w:tcW w:w="643" w:type="pct"/>
            <w:tcBorders>
              <w:bottom w:val="single" w:color="auto" w:sz="8" w:space="0"/>
            </w:tcBorders>
            <w:vAlign w:val="center"/>
          </w:tcPr>
          <w:p w14:paraId="5E9DA8B0">
            <w:pPr>
              <w:pStyle w:val="179"/>
            </w:pPr>
            <w:r>
              <w:t>chla</w:t>
            </w:r>
          </w:p>
        </w:tc>
        <w:tc>
          <w:tcPr>
            <w:tcW w:w="894" w:type="pct"/>
            <w:tcBorders>
              <w:bottom w:val="single" w:color="auto" w:sz="8" w:space="0"/>
            </w:tcBorders>
            <w:vAlign w:val="center"/>
          </w:tcPr>
          <w:p w14:paraId="615D490B">
            <w:pPr>
              <w:pStyle w:val="179"/>
            </w:pPr>
            <w:r>
              <w:t>TP</w:t>
            </w:r>
          </w:p>
        </w:tc>
        <w:tc>
          <w:tcPr>
            <w:tcW w:w="894" w:type="pct"/>
            <w:tcBorders>
              <w:bottom w:val="single" w:color="auto" w:sz="8" w:space="0"/>
            </w:tcBorders>
            <w:vAlign w:val="center"/>
          </w:tcPr>
          <w:p w14:paraId="52C8146B">
            <w:pPr>
              <w:pStyle w:val="179"/>
            </w:pPr>
            <w:r>
              <w:t>TN</w:t>
            </w:r>
          </w:p>
        </w:tc>
        <w:tc>
          <w:tcPr>
            <w:tcW w:w="894" w:type="pct"/>
            <w:tcBorders>
              <w:bottom w:val="single" w:color="auto" w:sz="8" w:space="0"/>
            </w:tcBorders>
            <w:vAlign w:val="center"/>
          </w:tcPr>
          <w:p w14:paraId="60C43C83">
            <w:pPr>
              <w:pStyle w:val="179"/>
            </w:pPr>
            <w:r>
              <w:t>SD</w:t>
            </w:r>
          </w:p>
        </w:tc>
        <w:tc>
          <w:tcPr>
            <w:tcW w:w="954" w:type="pct"/>
            <w:tcBorders>
              <w:bottom w:val="single" w:color="auto" w:sz="8" w:space="0"/>
            </w:tcBorders>
            <w:vAlign w:val="center"/>
          </w:tcPr>
          <w:p w14:paraId="63526027">
            <w:pPr>
              <w:pStyle w:val="179"/>
            </w:pPr>
            <w:r>
              <w:t>COD</w:t>
            </w:r>
            <w:r>
              <w:rPr>
                <w:vertAlign w:val="subscript"/>
              </w:rPr>
              <w:t>Mn</w:t>
            </w:r>
          </w:p>
        </w:tc>
      </w:tr>
      <w:tr w14:paraId="600CB9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0" w:type="pct"/>
            <w:tcBorders>
              <w:top w:val="single" w:color="auto" w:sz="8" w:space="0"/>
            </w:tcBorders>
            <w:vAlign w:val="center"/>
          </w:tcPr>
          <w:p w14:paraId="28015829">
            <w:pPr>
              <w:pStyle w:val="179"/>
            </w:pPr>
            <w:r>
              <w:t>r</w:t>
            </w:r>
            <w:r>
              <w:rPr>
                <w:vertAlign w:val="subscript"/>
              </w:rPr>
              <w:t>ij</w:t>
            </w:r>
          </w:p>
        </w:tc>
        <w:tc>
          <w:tcPr>
            <w:tcW w:w="643" w:type="pct"/>
            <w:tcBorders>
              <w:top w:val="single" w:color="auto" w:sz="8" w:space="0"/>
            </w:tcBorders>
            <w:vAlign w:val="center"/>
          </w:tcPr>
          <w:p w14:paraId="569FF3A9">
            <w:pPr>
              <w:pStyle w:val="179"/>
            </w:pPr>
            <w:r>
              <w:t>1</w:t>
            </w:r>
          </w:p>
        </w:tc>
        <w:tc>
          <w:tcPr>
            <w:tcW w:w="894" w:type="pct"/>
            <w:tcBorders>
              <w:top w:val="single" w:color="auto" w:sz="8" w:space="0"/>
            </w:tcBorders>
            <w:vAlign w:val="center"/>
          </w:tcPr>
          <w:p w14:paraId="51538145">
            <w:pPr>
              <w:pStyle w:val="179"/>
            </w:pPr>
            <w:r>
              <w:t>0.84</w:t>
            </w:r>
          </w:p>
        </w:tc>
        <w:tc>
          <w:tcPr>
            <w:tcW w:w="894" w:type="pct"/>
            <w:tcBorders>
              <w:top w:val="single" w:color="auto" w:sz="8" w:space="0"/>
            </w:tcBorders>
            <w:vAlign w:val="center"/>
          </w:tcPr>
          <w:p w14:paraId="0B931CF8">
            <w:pPr>
              <w:pStyle w:val="179"/>
            </w:pPr>
            <w:r>
              <w:t>0.82</w:t>
            </w:r>
          </w:p>
        </w:tc>
        <w:tc>
          <w:tcPr>
            <w:tcW w:w="894" w:type="pct"/>
            <w:tcBorders>
              <w:top w:val="single" w:color="auto" w:sz="8" w:space="0"/>
            </w:tcBorders>
            <w:vAlign w:val="center"/>
          </w:tcPr>
          <w:p w14:paraId="25CB14F6">
            <w:pPr>
              <w:pStyle w:val="179"/>
            </w:pPr>
            <w:r>
              <w:t>-0.86</w:t>
            </w:r>
          </w:p>
        </w:tc>
        <w:tc>
          <w:tcPr>
            <w:tcW w:w="954" w:type="pct"/>
            <w:tcBorders>
              <w:top w:val="single" w:color="auto" w:sz="8" w:space="0"/>
            </w:tcBorders>
            <w:vAlign w:val="center"/>
          </w:tcPr>
          <w:p w14:paraId="7AEFE40D">
            <w:pPr>
              <w:pStyle w:val="179"/>
            </w:pPr>
            <w:r>
              <w:t>0.83</w:t>
            </w:r>
          </w:p>
        </w:tc>
      </w:tr>
      <w:tr w14:paraId="6AD9A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720" w:type="pct"/>
            <w:vAlign w:val="center"/>
          </w:tcPr>
          <w:p w14:paraId="63441A58">
            <w:pPr>
              <w:pStyle w:val="179"/>
            </w:pPr>
            <w:r>
              <w:t>r</w:t>
            </w:r>
            <w:r>
              <w:rPr>
                <w:vertAlign w:val="subscript"/>
              </w:rPr>
              <w:t>ij</w:t>
            </w:r>
            <w:r>
              <w:rPr>
                <w:vertAlign w:val="superscript"/>
              </w:rPr>
              <w:t>2</w:t>
            </w:r>
          </w:p>
        </w:tc>
        <w:tc>
          <w:tcPr>
            <w:tcW w:w="643" w:type="pct"/>
            <w:vAlign w:val="center"/>
          </w:tcPr>
          <w:p w14:paraId="46B39CDA">
            <w:pPr>
              <w:pStyle w:val="179"/>
            </w:pPr>
            <w:r>
              <w:t>1</w:t>
            </w:r>
          </w:p>
        </w:tc>
        <w:tc>
          <w:tcPr>
            <w:tcW w:w="894" w:type="pct"/>
            <w:vAlign w:val="center"/>
          </w:tcPr>
          <w:p w14:paraId="73952CD6">
            <w:pPr>
              <w:pStyle w:val="179"/>
            </w:pPr>
            <w:r>
              <w:t>0.7056</w:t>
            </w:r>
          </w:p>
        </w:tc>
        <w:tc>
          <w:tcPr>
            <w:tcW w:w="894" w:type="pct"/>
            <w:vAlign w:val="center"/>
          </w:tcPr>
          <w:p w14:paraId="3CE5FF2F">
            <w:pPr>
              <w:pStyle w:val="179"/>
            </w:pPr>
            <w:r>
              <w:t>0.6724</w:t>
            </w:r>
          </w:p>
        </w:tc>
        <w:tc>
          <w:tcPr>
            <w:tcW w:w="894" w:type="pct"/>
            <w:vAlign w:val="center"/>
          </w:tcPr>
          <w:p w14:paraId="5E7B8836">
            <w:pPr>
              <w:pStyle w:val="179"/>
            </w:pPr>
            <w:r>
              <w:t>0.6889</w:t>
            </w:r>
          </w:p>
        </w:tc>
        <w:tc>
          <w:tcPr>
            <w:tcW w:w="954" w:type="pct"/>
            <w:vAlign w:val="center"/>
          </w:tcPr>
          <w:p w14:paraId="44256D2A">
            <w:pPr>
              <w:pStyle w:val="179"/>
            </w:pPr>
            <w:r>
              <w:t>0.6889</w:t>
            </w:r>
          </w:p>
        </w:tc>
      </w:tr>
    </w:tbl>
    <w:p w14:paraId="3BD4F3FB">
      <w:pPr>
        <w:pStyle w:val="57"/>
        <w:ind w:firstLine="420"/>
      </w:pPr>
      <w:r>
        <w:t>（3）各项营养状态指数计算</w:t>
      </w:r>
    </w:p>
    <w:p w14:paraId="73A0C836">
      <w:pPr>
        <w:pStyle w:val="57"/>
        <w:ind w:firstLine="420"/>
      </w:pPr>
      <w:r>
        <w:t>叶绿素a（chla）、总磷（TP）、总氮（TN）、透明度（SD）和高锰酸盐（COD</w:t>
      </w:r>
      <w:r>
        <w:rPr>
          <w:vertAlign w:val="subscript"/>
        </w:rPr>
        <w:t>Mn）</w:t>
      </w:r>
      <w:r>
        <w:t>指数5个单项指标的浓度值计算公式如下：</w:t>
      </w:r>
    </w:p>
    <w:p w14:paraId="7A2DAC43">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TLI（chla）=10(2.5+1.086lnchla)</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w:t>
      </w:r>
    </w:p>
    <w:p w14:paraId="45366EDD">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TLI（TP）=10(9.436+1.624lnTP)</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w:t>
      </w:r>
    </w:p>
    <w:p w14:paraId="5447FD1C">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TLI（TN）=10(5.453+1.694lnTN)</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w:t>
      </w:r>
    </w:p>
    <w:p w14:paraId="68C5F96E">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TLI（SD）=10(5.118-1.94lnSD)</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t>)</w:t>
      </w:r>
    </w:p>
    <w:p w14:paraId="0DFEDE23">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TLI（SD）=10(5.118-1.94lnSD)</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t>)</w:t>
      </w:r>
    </w:p>
    <w:p w14:paraId="059C8AC8">
      <w:pPr>
        <w:pStyle w:val="114"/>
        <w:rPr>
          <w:rFonts w:ascii="Times New Roman" w:hAnsi="Times New Roman"/>
        </w:rPr>
      </w:pPr>
      <w:r>
        <w:rPr>
          <w:rFonts w:ascii="Times New Roman" w:hAnsi="Times New Roman"/>
        </w:rPr>
        <w:tab/>
      </w:r>
      <m:oMath>
        <m:r>
          <m:rPr>
            <m:nor/>
            <m:sty m:val="p"/>
          </m:rPr>
          <w:rPr>
            <w:rFonts w:ascii="Times New Roman" w:hAnsi="Times New Roman"/>
            <w:b w:val="0"/>
            <w:i w:val="0"/>
          </w:rPr>
          <m:t>TLI（IMn）=10(0.109+2.661lnIMn)</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rPr>
        <w:t>)</w:t>
      </w:r>
    </w:p>
    <w:p w14:paraId="6184D89F">
      <w:pPr>
        <w:pStyle w:val="56"/>
        <w:ind w:firstLine="420"/>
        <w:rPr>
          <w:rFonts w:ascii="Times New Roman" w:hAnsi="Times New Roman"/>
        </w:rPr>
      </w:pPr>
      <w:r>
        <w:rPr>
          <w:rFonts w:ascii="Times New Roman" w:hAnsi="Times New Roman"/>
        </w:rPr>
        <w:t>式中：</w:t>
      </w:r>
    </w:p>
    <w:p w14:paraId="40772DEB">
      <w:pPr>
        <w:pStyle w:val="57"/>
        <w:ind w:firstLine="420"/>
      </w:pPr>
      <w:r>
        <w:t>chla——单位为mg/m</w:t>
      </w:r>
      <w:r>
        <w:rPr>
          <w:vertAlign w:val="superscript"/>
        </w:rPr>
        <w:t>3</w:t>
      </w:r>
      <w:r>
        <w:t>；</w:t>
      </w:r>
    </w:p>
    <w:p w14:paraId="37296843">
      <w:pPr>
        <w:pStyle w:val="57"/>
        <w:ind w:firstLine="420"/>
      </w:pPr>
      <w:r>
        <w:t>SD——单位为m；</w:t>
      </w:r>
    </w:p>
    <w:p w14:paraId="4A91AEA7">
      <w:pPr>
        <w:pStyle w:val="57"/>
        <w:ind w:firstLine="420"/>
      </w:pPr>
      <w:r>
        <w:t>其他指标——单位均为mg/L。</w:t>
      </w:r>
      <w:bookmarkStart w:id="61" w:name="_Toc8405"/>
      <w:bookmarkEnd w:id="61"/>
      <w:bookmarkStart w:id="62" w:name="_Toc9739"/>
    </w:p>
    <w:p w14:paraId="51E60E1D">
      <w:pPr>
        <w:pStyle w:val="105"/>
        <w:spacing w:before="240" w:after="240"/>
        <w:rPr>
          <w:rFonts w:ascii="Times New Roman"/>
        </w:rPr>
      </w:pPr>
      <w:bookmarkStart w:id="63" w:name="_Toc2690"/>
      <w:r>
        <w:rPr>
          <w:rFonts w:ascii="Times New Roman"/>
        </w:rPr>
        <w:t>地基高光谱监测数据质量控制</w:t>
      </w:r>
      <w:bookmarkEnd w:id="62"/>
      <w:bookmarkEnd w:id="63"/>
    </w:p>
    <w:p w14:paraId="01B85963">
      <w:pPr>
        <w:pStyle w:val="106"/>
        <w:spacing w:before="120" w:after="120"/>
        <w:rPr>
          <w:rFonts w:ascii="Times New Roman"/>
        </w:rPr>
      </w:pPr>
      <w:bookmarkStart w:id="64" w:name="_Toc31778"/>
      <w:r>
        <w:rPr>
          <w:rFonts w:ascii="Times New Roman"/>
        </w:rPr>
        <w:t>地基高光谱富营养检测仪器定标校准</w:t>
      </w:r>
      <w:bookmarkEnd w:id="64"/>
    </w:p>
    <w:p w14:paraId="1849DF31">
      <w:pPr>
        <w:pStyle w:val="57"/>
        <w:ind w:firstLine="420"/>
      </w:pPr>
      <w:r>
        <w:t>高光谱设备的仪器定标校准是确保光谱成像数据准确性的重要步骤。这个过程涉及辐射定标和光谱定标。其中辐射定标是为了确保仪器接收到的辐射强度能够准确转换为数字输出。通常使用标准光源（如卤素灯、太阳模拟器、全光谱LED灯）来校正仪器，以确保其输出与实际光照强度成正比，光谱定标是为了确保仪器对不同波长响应的准确度。通常通过使用已知光谱特性的物质（如标准液）来完成。其定标校准结果需满足400-1000 nm波长范围内，其辐射定标准确度不低于±5%，光谱定标分辨率不低于5 nm。</w:t>
      </w:r>
    </w:p>
    <w:p w14:paraId="6504256E">
      <w:pPr>
        <w:pStyle w:val="106"/>
        <w:spacing w:before="120" w:after="120"/>
        <w:rPr>
          <w:rFonts w:ascii="Times New Roman"/>
        </w:rPr>
      </w:pPr>
      <w:bookmarkStart w:id="65" w:name="_Toc10488"/>
      <w:r>
        <w:rPr>
          <w:rFonts w:ascii="Times New Roman"/>
        </w:rPr>
        <w:t>拟合曲线</w:t>
      </w:r>
      <w:bookmarkEnd w:id="65"/>
    </w:p>
    <w:p w14:paraId="6B1CDA81">
      <w:pPr>
        <w:pStyle w:val="57"/>
        <w:ind w:firstLine="420"/>
      </w:pPr>
      <w:r>
        <w:t>采用决定系数（R</w:t>
      </w:r>
      <w:r>
        <w:rPr>
          <w:vertAlign w:val="superscript"/>
        </w:rPr>
        <w:t>2</w:t>
      </w:r>
      <w:r>
        <w:t>）对模型准确度进行评估。其表达式如下所示。</w:t>
      </w:r>
    </w:p>
    <w:p w14:paraId="4CF77622">
      <w:pPr>
        <w:pStyle w:val="114"/>
        <w:rPr>
          <w:rFonts w:ascii="Times New Roman" w:hAnsi="Times New Roman"/>
        </w:rPr>
      </w:pPr>
      <w:r>
        <w:rPr>
          <w:rFonts w:ascii="Times New Roman" w:hAnsi="Times New Roman"/>
        </w:rPr>
        <w:tab/>
      </w:r>
      <m:oMath>
        <m:sSup>
          <m:sSupPr>
            <m:ctrlPr>
              <w:rPr>
                <w:rFonts w:ascii="Cambria Math" w:hAnsi="Cambria Math"/>
                <w:i/>
              </w:rPr>
            </m:ctrlPr>
          </m:sSupPr>
          <m:e>
            <m:r>
              <m:rPr>
                <m:nor/>
              </m:rPr>
              <w:rPr>
                <w:rFonts w:ascii="Times New Roman" w:hAnsi="Times New Roman"/>
                <w:i/>
              </w:rPr>
              <m:t>R</m:t>
            </m:r>
            <m:ctrlPr>
              <w:rPr>
                <w:rFonts w:ascii="Cambria Math" w:hAnsi="Cambria Math"/>
                <w:i/>
              </w:rPr>
            </m:ctrlPr>
          </m:e>
          <m:sup>
            <m:r>
              <m:rPr>
                <m:nor/>
                <m:sty m:val="p"/>
              </m:rPr>
              <w:rPr>
                <w:rFonts w:ascii="Times New Roman" w:hAnsi="Times New Roman"/>
                <w:b w:val="0"/>
                <w:i w:val="0"/>
              </w:rPr>
              <m:t>2</m:t>
            </m:r>
            <m:ctrlPr>
              <w:rPr>
                <w:rFonts w:ascii="Cambria Math" w:hAnsi="Cambria Math"/>
                <w:i/>
              </w:rPr>
            </m:ctrlPr>
          </m:sup>
        </m:sSup>
        <m:r>
          <m:rPr>
            <m:nor/>
            <m:sty m:val="p"/>
          </m:rPr>
          <w:rPr>
            <w:rFonts w:ascii="Times New Roman" w:hAnsi="Times New Roman"/>
            <w:b w:val="0"/>
            <w:i w:val="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nary>
                      <m:naryPr>
                        <m:chr m:val="∑"/>
                        <m:ctrlPr>
                          <w:rPr>
                            <w:rFonts w:ascii="Cambria Math" w:hAnsi="Cambria Math"/>
                            <w:i/>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rPr>
                        </m:ctrlPr>
                      </m:sub>
                      <m:sup>
                        <m:r>
                          <m:rPr>
                            <m:nor/>
                          </m:rPr>
                          <w:rPr>
                            <w:rFonts w:ascii="Times New Roman" w:hAnsi="Times New Roman"/>
                            <w:i/>
                          </w:rPr>
                          <m:t>N</m:t>
                        </m:r>
                        <m:ctrlPr>
                          <w:rPr>
                            <w:rFonts w:ascii="Cambria Math" w:hAnsi="Cambria Math"/>
                            <w:i/>
                          </w:rPr>
                        </m:ctrlPr>
                      </m:sup>
                      <m:e>
                        <m:d>
                          <m:dPr>
                            <m:ctrlPr>
                              <w:rPr>
                                <w:rFonts w:ascii="Cambria Math" w:hAnsi="Cambria Math"/>
                                <w:i/>
                              </w:rPr>
                            </m:ctrlPr>
                          </m:dPr>
                          <m:e>
                            <m:sSub>
                              <m:sSubPr>
                                <m:ctrlPr>
                                  <w:rPr>
                                    <w:rFonts w:ascii="Cambria Math" w:hAnsi="Cambria Math"/>
                                    <w:i/>
                                  </w:rPr>
                                </m:ctrlPr>
                              </m:sSubPr>
                              <m:e>
                                <m:r>
                                  <m:rPr>
                                    <m:nor/>
                                  </m:rPr>
                                  <w:rPr>
                                    <w:rFonts w:ascii="Times New Roman" w:hAnsi="Times New Roman"/>
                                    <w:i/>
                                  </w:rPr>
                                  <m:t>x</m:t>
                                </m:r>
                                <m:ctrlPr>
                                  <w:rPr>
                                    <w:rFonts w:ascii="Cambria Math" w:hAnsi="Cambria Math"/>
                                    <w:i/>
                                  </w:rPr>
                                </m:ctrlPr>
                              </m:e>
                              <m:sub>
                                <m:r>
                                  <m:rPr>
                                    <m:nor/>
                                  </m:rPr>
                                  <w:rPr>
                                    <w:rFonts w:ascii="Times New Roman" w:hAnsi="Times New Roman"/>
                                    <w:i/>
                                  </w:rPr>
                                  <m:t>i</m:t>
                                </m:r>
                                <m:ctrlPr>
                                  <w:rPr>
                                    <w:rFonts w:ascii="Cambria Math" w:hAnsi="Cambria Math"/>
                                    <w:i/>
                                  </w:rPr>
                                </m:ctrlPr>
                              </m:sub>
                            </m:sSub>
                            <m:r>
                              <m:rPr>
                                <m:nor/>
                                <m:sty m:val="p"/>
                              </m:rPr>
                              <w:rPr>
                                <w:rFonts w:ascii="Times New Roman" w:hAnsi="Times New Roman"/>
                                <w:b w:val="0"/>
                                <w:i w:val="0"/>
                              </w:rPr>
                              <m:t>-</m:t>
                            </m:r>
                            <m:acc>
                              <m:accPr>
                                <m:chr m:val="̅"/>
                                <m:ctrlPr>
                                  <w:rPr>
                                    <w:rFonts w:ascii="Cambria Math" w:hAnsi="Cambria Math"/>
                                    <w:i/>
                                  </w:rPr>
                                </m:ctrlPr>
                              </m:accPr>
                              <m:e>
                                <m:r>
                                  <m:rPr>
                                    <m:nor/>
                                  </m:rPr>
                                  <w:rPr>
                                    <w:rFonts w:ascii="Times New Roman" w:hAnsi="Times New Roman"/>
                                    <w:i/>
                                  </w:rPr>
                                  <m:t>x</m:t>
                                </m:r>
                                <m:ctrlPr>
                                  <w:rPr>
                                    <w:rFonts w:ascii="Cambria Math" w:hAnsi="Cambria Math"/>
                                    <w:i/>
                                  </w:rPr>
                                </m:ctrlPr>
                              </m:e>
                            </m:acc>
                            <m:ctrlPr>
                              <w:rPr>
                                <w:rFonts w:ascii="Cambria Math" w:hAnsi="Cambria Math"/>
                                <w:i/>
                              </w:rPr>
                            </m:ctrlPr>
                          </m:e>
                        </m:d>
                        <m:d>
                          <m:dPr>
                            <m:ctrlPr>
                              <w:rPr>
                                <w:rFonts w:ascii="Cambria Math" w:hAnsi="Cambria Math"/>
                                <w:i/>
                              </w:rPr>
                            </m:ctrlPr>
                          </m:dPr>
                          <m:e>
                            <m:sSub>
                              <m:sSubPr>
                                <m:ctrlPr>
                                  <w:rPr>
                                    <w:rFonts w:ascii="Cambria Math" w:hAnsi="Cambria Math"/>
                                    <w:i/>
                                  </w:rPr>
                                </m:ctrlPr>
                              </m:sSubPr>
                              <m:e>
                                <m:r>
                                  <m:rPr>
                                    <m:nor/>
                                  </m:rPr>
                                  <w:rPr>
                                    <w:rFonts w:ascii="Times New Roman" w:hAnsi="Times New Roman"/>
                                    <w:i/>
                                  </w:rPr>
                                  <m:t>y</m:t>
                                </m:r>
                                <m:ctrlPr>
                                  <w:rPr>
                                    <w:rFonts w:ascii="Cambria Math" w:hAnsi="Cambria Math"/>
                                    <w:i/>
                                  </w:rPr>
                                </m:ctrlPr>
                              </m:e>
                              <m:sub>
                                <m:r>
                                  <m:rPr>
                                    <m:nor/>
                                  </m:rPr>
                                  <w:rPr>
                                    <w:rFonts w:ascii="Times New Roman" w:hAnsi="Times New Roman"/>
                                    <w:i/>
                                  </w:rPr>
                                  <m:t>i</m:t>
                                </m:r>
                                <m:ctrlPr>
                                  <w:rPr>
                                    <w:rFonts w:ascii="Cambria Math" w:hAnsi="Cambria Math"/>
                                    <w:i/>
                                  </w:rPr>
                                </m:ctrlPr>
                              </m:sub>
                            </m:sSub>
                            <m:r>
                              <m:rPr>
                                <m:nor/>
                                <m:sty m:val="p"/>
                              </m:rPr>
                              <w:rPr>
                                <w:rFonts w:ascii="Times New Roman" w:hAnsi="Times New Roman"/>
                                <w:b w:val="0"/>
                                <w:i w:val="0"/>
                              </w:rPr>
                              <m:t>-</m:t>
                            </m:r>
                            <m:acc>
                              <m:accPr>
                                <m:chr m:val="̅"/>
                                <m:ctrlPr>
                                  <w:rPr>
                                    <w:rFonts w:ascii="Cambria Math" w:hAnsi="Cambria Math"/>
                                    <w:i/>
                                  </w:rPr>
                                </m:ctrlPr>
                              </m:accPr>
                              <m:e>
                                <m:r>
                                  <m:rPr>
                                    <m:nor/>
                                  </m:rPr>
                                  <w:rPr>
                                    <w:rFonts w:ascii="Times New Roman" w:hAnsi="Times New Roman"/>
                                    <w:i/>
                                  </w:rPr>
                                  <m:t>y</m:t>
                                </m:r>
                                <m:ctrlPr>
                                  <w:rPr>
                                    <w:rFonts w:ascii="Cambria Math" w:hAnsi="Cambria Math"/>
                                    <w:i/>
                                  </w:rPr>
                                </m:ctrlPr>
                              </m:e>
                            </m:acc>
                            <m:ctrlPr>
                              <w:rPr>
                                <w:rFonts w:ascii="Cambria Math" w:hAnsi="Cambria Math"/>
                                <w:i/>
                              </w:rPr>
                            </m:ctrlPr>
                          </m:e>
                        </m:d>
                        <m:ctrlPr>
                          <w:rPr>
                            <w:rFonts w:ascii="Cambria Math" w:hAnsi="Cambria Math"/>
                            <w:i/>
                          </w:rPr>
                        </m:ctrlPr>
                      </m:e>
                    </m:nary>
                    <m:ctrlPr>
                      <w:rPr>
                        <w:rFonts w:ascii="Cambria Math" w:hAnsi="Cambria Math"/>
                        <w:i/>
                      </w:rPr>
                    </m:ctrlPr>
                  </m:e>
                </m:d>
                <m:ctrlPr>
                  <w:rPr>
                    <w:rFonts w:ascii="Cambria Math" w:hAnsi="Cambria Math"/>
                    <w:i/>
                  </w:rPr>
                </m:ctrlPr>
              </m:e>
              <m:sup>
                <m:r>
                  <m:rPr>
                    <m:nor/>
                    <m:sty m:val="p"/>
                  </m:rPr>
                  <w:rPr>
                    <w:rFonts w:ascii="Times New Roman" w:hAnsi="Times New Roman"/>
                    <w:b w:val="0"/>
                    <w:i w:val="0"/>
                  </w:rPr>
                  <m:t>2</m:t>
                </m:r>
                <m:ctrlPr>
                  <w:rPr>
                    <w:rFonts w:ascii="Cambria Math" w:hAnsi="Cambria Math"/>
                    <w:i/>
                  </w:rPr>
                </m:ctrlPr>
              </m:sup>
            </m:sSup>
            <m:ctrlPr>
              <w:rPr>
                <w:rFonts w:ascii="Cambria Math" w:hAnsi="Cambria Math"/>
                <w:i/>
              </w:rPr>
            </m:ctrlPr>
          </m:num>
          <m:den>
            <m:nary>
              <m:naryPr>
                <m:chr m:val="∑"/>
                <m:ctrlPr>
                  <w:rPr>
                    <w:rFonts w:ascii="Cambria Math" w:hAnsi="Cambria Math"/>
                    <w:i/>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rPr>
                </m:ctrlPr>
              </m:sub>
              <m:sup>
                <m:r>
                  <m:rPr>
                    <m:nor/>
                  </m:rPr>
                  <w:rPr>
                    <w:rFonts w:ascii="Times New Roman" w:hAnsi="Times New Roman"/>
                    <w:i/>
                  </w:rPr>
                  <m:t>N</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rFonts w:ascii="Times New Roman" w:hAnsi="Times New Roman"/>
                                <w:i/>
                              </w:rPr>
                              <m:t>x</m:t>
                            </m:r>
                            <m:ctrlPr>
                              <w:rPr>
                                <w:rFonts w:ascii="Cambria Math" w:hAnsi="Cambria Math"/>
                                <w:i/>
                              </w:rPr>
                            </m:ctrlPr>
                          </m:e>
                          <m:sub>
                            <m:r>
                              <m:rPr>
                                <m:nor/>
                              </m:rPr>
                              <w:rPr>
                                <w:rFonts w:ascii="Times New Roman" w:hAnsi="Times New Roman"/>
                                <w:i/>
                              </w:rPr>
                              <m:t>i</m:t>
                            </m:r>
                            <m:ctrlPr>
                              <w:rPr>
                                <w:rFonts w:ascii="Cambria Math" w:hAnsi="Cambria Math"/>
                                <w:i/>
                              </w:rPr>
                            </m:ctrlPr>
                          </m:sub>
                        </m:sSub>
                        <m:r>
                          <m:rPr>
                            <m:nor/>
                            <m:sty m:val="p"/>
                          </m:rPr>
                          <w:rPr>
                            <w:rFonts w:ascii="Times New Roman" w:hAnsi="Times New Roman"/>
                            <w:b w:val="0"/>
                            <w:i w:val="0"/>
                          </w:rPr>
                          <m:t>-</m:t>
                        </m:r>
                        <m:acc>
                          <m:accPr>
                            <m:chr m:val="̅"/>
                            <m:ctrlPr>
                              <w:rPr>
                                <w:rFonts w:ascii="Cambria Math" w:hAnsi="Cambria Math"/>
                                <w:i/>
                              </w:rPr>
                            </m:ctrlPr>
                          </m:accPr>
                          <m:e>
                            <m:r>
                              <m:rPr>
                                <m:nor/>
                              </m:rPr>
                              <w:rPr>
                                <w:rFonts w:ascii="Times New Roman" w:hAnsi="Times New Roman"/>
                                <w:i/>
                              </w:rPr>
                              <m:t>x</m:t>
                            </m:r>
                            <m:ctrlPr>
                              <w:rPr>
                                <w:rFonts w:ascii="Cambria Math" w:hAnsi="Cambria Math"/>
                                <w:i/>
                              </w:rPr>
                            </m:ctrlPr>
                          </m:e>
                        </m:acc>
                        <m:ctrlPr>
                          <w:rPr>
                            <w:rFonts w:ascii="Cambria Math" w:hAnsi="Cambria Math"/>
                            <w:i/>
                          </w:rPr>
                        </m:ctrlPr>
                      </m:e>
                    </m:d>
                    <m:ctrlPr>
                      <w:rPr>
                        <w:rFonts w:ascii="Cambria Math" w:hAnsi="Cambria Math"/>
                        <w:i/>
                      </w:rPr>
                    </m:ctrlPr>
                  </m:e>
                  <m:sup>
                    <m:r>
                      <m:rPr>
                        <m:nor/>
                        <m:sty m:val="p"/>
                      </m:rPr>
                      <w:rPr>
                        <w:rFonts w:ascii="Times New Roman" w:hAnsi="Times New Roman"/>
                        <w:b w:val="0"/>
                        <w:i w:val="0"/>
                      </w:rPr>
                      <m:t>2</m:t>
                    </m:r>
                    <m:ctrlPr>
                      <w:rPr>
                        <w:rFonts w:ascii="Cambria Math" w:hAnsi="Cambria Math"/>
                        <w:i/>
                      </w:rPr>
                    </m:ctrlPr>
                  </m:sup>
                </m:sSup>
                <m:ctrlPr>
                  <w:rPr>
                    <w:rFonts w:ascii="Cambria Math" w:hAnsi="Cambria Math"/>
                    <w:i/>
                  </w:rPr>
                </m:ctrlPr>
              </m:e>
            </m:nary>
            <m:r>
              <m:rPr>
                <m:nor/>
                <m:sty m:val="p"/>
              </m:rPr>
              <w:rPr>
                <w:rFonts w:ascii="Times New Roman" w:hAnsi="Times New Roman"/>
                <w:b w:val="0"/>
                <w:i w:val="0"/>
              </w:rPr>
              <m:t>×</m:t>
            </m:r>
            <m:nary>
              <m:naryPr>
                <m:chr m:val="∑"/>
                <m:ctrlPr>
                  <w:rPr>
                    <w:rFonts w:ascii="Cambria Math" w:hAnsi="Cambria Math"/>
                    <w:i/>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rPr>
                </m:ctrlPr>
              </m:sub>
              <m:sup>
                <m:r>
                  <m:rPr>
                    <m:nor/>
                  </m:rPr>
                  <w:rPr>
                    <w:rFonts w:ascii="Times New Roman" w:hAnsi="Times New Roman"/>
                    <w:i/>
                  </w:rPr>
                  <m:t>N</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nor/>
                              </m:rPr>
                              <w:rPr>
                                <w:rFonts w:ascii="Times New Roman" w:hAnsi="Times New Roman"/>
                                <w:i/>
                              </w:rPr>
                              <m:t>y</m:t>
                            </m:r>
                            <m:ctrlPr>
                              <w:rPr>
                                <w:rFonts w:ascii="Cambria Math" w:hAnsi="Cambria Math"/>
                                <w:i/>
                              </w:rPr>
                            </m:ctrlPr>
                          </m:e>
                          <m:sub>
                            <m:r>
                              <m:rPr>
                                <m:nor/>
                              </m:rPr>
                              <w:rPr>
                                <w:rFonts w:ascii="Times New Roman" w:hAnsi="Times New Roman"/>
                                <w:i/>
                              </w:rPr>
                              <m:t>i</m:t>
                            </m:r>
                            <m:ctrlPr>
                              <w:rPr>
                                <w:rFonts w:ascii="Cambria Math" w:hAnsi="Cambria Math"/>
                                <w:i/>
                              </w:rPr>
                            </m:ctrlPr>
                          </m:sub>
                        </m:sSub>
                        <m:r>
                          <m:rPr>
                            <m:nor/>
                            <m:sty m:val="p"/>
                          </m:rPr>
                          <w:rPr>
                            <w:rFonts w:ascii="Times New Roman" w:hAnsi="Times New Roman"/>
                            <w:b w:val="0"/>
                            <w:i w:val="0"/>
                          </w:rPr>
                          <m:t>-</m:t>
                        </m:r>
                        <m:acc>
                          <m:accPr>
                            <m:chr m:val="̅"/>
                            <m:ctrlPr>
                              <w:rPr>
                                <w:rFonts w:ascii="Cambria Math" w:hAnsi="Cambria Math"/>
                                <w:i/>
                              </w:rPr>
                            </m:ctrlPr>
                          </m:accPr>
                          <m:e>
                            <m:r>
                              <m:rPr>
                                <m:nor/>
                              </m:rPr>
                              <w:rPr>
                                <w:rFonts w:ascii="Times New Roman" w:hAnsi="Times New Roman"/>
                                <w:i/>
                              </w:rPr>
                              <m:t>y</m:t>
                            </m:r>
                            <m:ctrlPr>
                              <w:rPr>
                                <w:rFonts w:ascii="Cambria Math" w:hAnsi="Cambria Math"/>
                                <w:i/>
                              </w:rPr>
                            </m:ctrlPr>
                          </m:e>
                        </m:acc>
                        <m:ctrlPr>
                          <w:rPr>
                            <w:rFonts w:ascii="Cambria Math" w:hAnsi="Cambria Math"/>
                            <w:i/>
                          </w:rPr>
                        </m:ctrlPr>
                      </m:e>
                    </m:d>
                    <m:ctrlPr>
                      <w:rPr>
                        <w:rFonts w:ascii="Cambria Math" w:hAnsi="Cambria Math"/>
                        <w:i/>
                      </w:rPr>
                    </m:ctrlPr>
                  </m:e>
                  <m:sup>
                    <m:r>
                      <m:rPr>
                        <m:nor/>
                        <m:sty m:val="p"/>
                      </m:rPr>
                      <w:rPr>
                        <w:rFonts w:ascii="Times New Roman" w:hAnsi="Times New Roman"/>
                        <w:b w:val="0"/>
                        <w:i w:val="0"/>
                      </w:rPr>
                      <m:t>2</m:t>
                    </m:r>
                    <m:ctrlPr>
                      <w:rPr>
                        <w:rFonts w:ascii="Cambria Math" w:hAnsi="Cambria Math"/>
                        <w:i/>
                      </w:rPr>
                    </m:ctrlPr>
                  </m:sup>
                </m:sSup>
                <m:ctrlPr>
                  <w:rPr>
                    <w:rFonts w:ascii="Cambria Math" w:hAnsi="Cambria Math"/>
                    <w:i/>
                  </w:rPr>
                </m:ctrlPr>
              </m:e>
            </m:nary>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w:t>
      </w:r>
    </w:p>
    <w:p w14:paraId="4C7BC626">
      <w:pPr>
        <w:pStyle w:val="57"/>
        <w:ind w:firstLine="420"/>
      </w:pPr>
      <w:r>
        <w:t>式中：</w:t>
      </w:r>
    </w:p>
    <w:p w14:paraId="436D8ACD">
      <w:pPr>
        <w:pStyle w:val="57"/>
        <w:ind w:firstLine="420"/>
      </w:pPr>
      <w:r>
        <w:drawing>
          <wp:inline distT="0" distB="0" distL="114300" distR="114300">
            <wp:extent cx="153670" cy="233680"/>
            <wp:effectExtent l="0" t="0" r="0" b="12065"/>
            <wp:docPr id="20" name="图片 34"/>
            <wp:cNvGraphicFramePr/>
            <a:graphic xmlns:a="http://schemas.openxmlformats.org/drawingml/2006/main">
              <a:graphicData uri="http://schemas.openxmlformats.org/drawingml/2006/picture">
                <pic:pic xmlns:pic="http://schemas.openxmlformats.org/drawingml/2006/picture">
                  <pic:nvPicPr>
                    <pic:cNvPr id="20" name="图片 34"/>
                    <pic:cNvPicPr/>
                  </pic:nvPicPr>
                  <pic:blipFill>
                    <a:blip r:embed="rId26"/>
                    <a:stretch>
                      <a:fillRect/>
                    </a:stretch>
                  </pic:blipFill>
                  <pic:spPr>
                    <a:xfrm>
                      <a:off x="0" y="0"/>
                      <a:ext cx="153670" cy="233680"/>
                    </a:xfrm>
                    <a:prstGeom prst="rect">
                      <a:avLst/>
                    </a:prstGeom>
                    <a:noFill/>
                    <a:ln>
                      <a:noFill/>
                    </a:ln>
                  </pic:spPr>
                </pic:pic>
              </a:graphicData>
            </a:graphic>
          </wp:inline>
        </w:drawing>
      </w:r>
      <w:r>
        <w:t>——第</w:t>
      </w:r>
      <w:r>
        <w:drawing>
          <wp:inline distT="0" distB="0" distL="114300" distR="114300">
            <wp:extent cx="87630" cy="168275"/>
            <wp:effectExtent l="0" t="0" r="3810" b="0"/>
            <wp:docPr id="21" name="图片 36"/>
            <wp:cNvGraphicFramePr/>
            <a:graphic xmlns:a="http://schemas.openxmlformats.org/drawingml/2006/main">
              <a:graphicData uri="http://schemas.openxmlformats.org/drawingml/2006/picture">
                <pic:pic xmlns:pic="http://schemas.openxmlformats.org/drawingml/2006/picture">
                  <pic:nvPicPr>
                    <pic:cNvPr id="21" name="图片 36"/>
                    <pic:cNvPicPr/>
                  </pic:nvPicPr>
                  <pic:blipFill>
                    <a:blip r:embed="rId27"/>
                    <a:stretch>
                      <a:fillRect/>
                    </a:stretch>
                  </pic:blipFill>
                  <pic:spPr>
                    <a:xfrm>
                      <a:off x="0" y="0"/>
                      <a:ext cx="87630" cy="168275"/>
                    </a:xfrm>
                    <a:prstGeom prst="rect">
                      <a:avLst/>
                    </a:prstGeom>
                    <a:noFill/>
                    <a:ln>
                      <a:noFill/>
                    </a:ln>
                  </pic:spPr>
                </pic:pic>
              </a:graphicData>
            </a:graphic>
          </wp:inline>
        </w:drawing>
      </w:r>
      <w:r>
        <w:t>个样本的反演数据；</w:t>
      </w:r>
    </w:p>
    <w:p w14:paraId="5C72C2FF">
      <w:pPr>
        <w:pStyle w:val="57"/>
        <w:ind w:firstLine="420"/>
      </w:pPr>
      <w:r>
        <w:drawing>
          <wp:inline distT="0" distB="0" distL="114300" distR="114300">
            <wp:extent cx="168275" cy="233680"/>
            <wp:effectExtent l="0" t="0" r="0" b="12065"/>
            <wp:docPr id="19" name="图片 35"/>
            <wp:cNvGraphicFramePr/>
            <a:graphic xmlns:a="http://schemas.openxmlformats.org/drawingml/2006/main">
              <a:graphicData uri="http://schemas.openxmlformats.org/drawingml/2006/picture">
                <pic:pic xmlns:pic="http://schemas.openxmlformats.org/drawingml/2006/picture">
                  <pic:nvPicPr>
                    <pic:cNvPr id="19" name="图片 35"/>
                    <pic:cNvPicPr/>
                  </pic:nvPicPr>
                  <pic:blipFill>
                    <a:blip r:embed="rId30"/>
                    <a:stretch>
                      <a:fillRect/>
                    </a:stretch>
                  </pic:blipFill>
                  <pic:spPr>
                    <a:xfrm>
                      <a:off x="0" y="0"/>
                      <a:ext cx="168275" cy="233680"/>
                    </a:xfrm>
                    <a:prstGeom prst="rect">
                      <a:avLst/>
                    </a:prstGeom>
                    <a:noFill/>
                    <a:ln>
                      <a:noFill/>
                    </a:ln>
                  </pic:spPr>
                </pic:pic>
              </a:graphicData>
            </a:graphic>
          </wp:inline>
        </w:drawing>
      </w:r>
      <w:r>
        <w:t>——第</w:t>
      </w:r>
      <w:r>
        <w:drawing>
          <wp:inline distT="0" distB="0" distL="114300" distR="114300">
            <wp:extent cx="87630" cy="168275"/>
            <wp:effectExtent l="0" t="0" r="3810" b="0"/>
            <wp:docPr id="26" name="图片 36"/>
            <wp:cNvGraphicFramePr/>
            <a:graphic xmlns:a="http://schemas.openxmlformats.org/drawingml/2006/main">
              <a:graphicData uri="http://schemas.openxmlformats.org/drawingml/2006/picture">
                <pic:pic xmlns:pic="http://schemas.openxmlformats.org/drawingml/2006/picture">
                  <pic:nvPicPr>
                    <pic:cNvPr id="26" name="图片 36"/>
                    <pic:cNvPicPr/>
                  </pic:nvPicPr>
                  <pic:blipFill>
                    <a:blip r:embed="rId27"/>
                    <a:stretch>
                      <a:fillRect/>
                    </a:stretch>
                  </pic:blipFill>
                  <pic:spPr>
                    <a:xfrm>
                      <a:off x="0" y="0"/>
                      <a:ext cx="87630" cy="168275"/>
                    </a:xfrm>
                    <a:prstGeom prst="rect">
                      <a:avLst/>
                    </a:prstGeom>
                    <a:noFill/>
                    <a:ln>
                      <a:noFill/>
                    </a:ln>
                  </pic:spPr>
                </pic:pic>
              </a:graphicData>
            </a:graphic>
          </wp:inline>
        </w:drawing>
      </w:r>
      <w:r>
        <w:t>个样本的实测数据；</w:t>
      </w:r>
    </w:p>
    <w:p w14:paraId="39AF9963">
      <w:pPr>
        <w:pStyle w:val="57"/>
        <w:ind w:firstLine="420"/>
      </w:pPr>
      <w:r>
        <w:drawing>
          <wp:inline distT="0" distB="0" distL="114300" distR="114300">
            <wp:extent cx="124460" cy="212090"/>
            <wp:effectExtent l="0" t="0" r="12700" b="1270"/>
            <wp:docPr id="22" name="图片 37"/>
            <wp:cNvGraphicFramePr/>
            <a:graphic xmlns:a="http://schemas.openxmlformats.org/drawingml/2006/main">
              <a:graphicData uri="http://schemas.openxmlformats.org/drawingml/2006/picture">
                <pic:pic xmlns:pic="http://schemas.openxmlformats.org/drawingml/2006/picture">
                  <pic:nvPicPr>
                    <pic:cNvPr id="22" name="图片 37"/>
                    <pic:cNvPicPr/>
                  </pic:nvPicPr>
                  <pic:blipFill>
                    <a:blip r:embed="rId31"/>
                    <a:stretch>
                      <a:fillRect/>
                    </a:stretch>
                  </pic:blipFill>
                  <pic:spPr>
                    <a:xfrm>
                      <a:off x="0" y="0"/>
                      <a:ext cx="124460" cy="212090"/>
                    </a:xfrm>
                    <a:prstGeom prst="rect">
                      <a:avLst/>
                    </a:prstGeom>
                    <a:noFill/>
                    <a:ln>
                      <a:noFill/>
                    </a:ln>
                  </pic:spPr>
                </pic:pic>
              </a:graphicData>
            </a:graphic>
          </wp:inline>
        </w:drawing>
      </w:r>
      <w:r>
        <w:t>——反演的数据平均值</w:t>
      </w:r>
    </w:p>
    <w:p w14:paraId="209C4242">
      <w:pPr>
        <w:pStyle w:val="57"/>
        <w:ind w:firstLine="420"/>
      </w:pPr>
      <w:r>
        <w:drawing>
          <wp:inline distT="0" distB="0" distL="114300" distR="114300">
            <wp:extent cx="139065" cy="234315"/>
            <wp:effectExtent l="0" t="0" r="13335" b="10160"/>
            <wp:docPr id="17" name="图片 38"/>
            <wp:cNvGraphicFramePr/>
            <a:graphic xmlns:a="http://schemas.openxmlformats.org/drawingml/2006/main">
              <a:graphicData uri="http://schemas.openxmlformats.org/drawingml/2006/picture">
                <pic:pic xmlns:pic="http://schemas.openxmlformats.org/drawingml/2006/picture">
                  <pic:nvPicPr>
                    <pic:cNvPr id="17" name="图片 38"/>
                    <pic:cNvPicPr/>
                  </pic:nvPicPr>
                  <pic:blipFill>
                    <a:blip r:embed="rId32"/>
                    <a:stretch>
                      <a:fillRect/>
                    </a:stretch>
                  </pic:blipFill>
                  <pic:spPr>
                    <a:xfrm>
                      <a:off x="0" y="0"/>
                      <a:ext cx="139065" cy="234315"/>
                    </a:xfrm>
                    <a:prstGeom prst="rect">
                      <a:avLst/>
                    </a:prstGeom>
                    <a:noFill/>
                    <a:ln>
                      <a:noFill/>
                    </a:ln>
                  </pic:spPr>
                </pic:pic>
              </a:graphicData>
            </a:graphic>
          </wp:inline>
        </w:drawing>
      </w:r>
      <w:r>
        <w:t>——实测数据的平均值；</w:t>
      </w:r>
    </w:p>
    <w:p w14:paraId="25A6A8E8">
      <w:pPr>
        <w:pStyle w:val="57"/>
        <w:ind w:firstLine="420"/>
      </w:pPr>
      <w:r>
        <w:t>N——总的样本个数。</w:t>
      </w:r>
    </w:p>
    <w:p w14:paraId="05AA9856">
      <w:pPr>
        <w:pStyle w:val="57"/>
        <w:ind w:firstLine="420"/>
      </w:pPr>
      <w:r>
        <w:t>在同一采样点连续5日上下午各采集一次水样，以传统实验室测量方法（HJ/T98-2003、HJ/T99-2003、HJ/T100-2003、HJ/T101-2003、GB/T 11894-1989、GB/T 11893-1989、HJ 897－2017）为标准对地基高光谱采集的水体光谱遥感反演数据的精度进行评价，评价指标为决定系数。其中各水质参数模型的决定系数应大于0.7。</w:t>
      </w:r>
    </w:p>
    <w:p w14:paraId="7CA2DCBA">
      <w:pPr>
        <w:pStyle w:val="106"/>
        <w:spacing w:before="120" w:after="120"/>
        <w:rPr>
          <w:rFonts w:ascii="Times New Roman"/>
        </w:rPr>
      </w:pPr>
      <w:bookmarkStart w:id="66" w:name="_Toc585"/>
      <w:r>
        <w:rPr>
          <w:rFonts w:ascii="Times New Roman"/>
        </w:rPr>
        <w:t>不准确度</w:t>
      </w:r>
      <w:bookmarkEnd w:id="66"/>
    </w:p>
    <w:p w14:paraId="0EFAC256">
      <w:pPr>
        <w:pStyle w:val="57"/>
        <w:ind w:firstLine="420"/>
      </w:pPr>
      <w:r>
        <w:t>将水质参数反演值与实测值比对，误差指标采用均方根误差RMSE。叶绿素、有色可溶性有机物、浊度、藻蓝蛋白的误差应该低于20%，其余指标的误差应该低于30%，结果保留两位有效数字。</w:t>
      </w:r>
    </w:p>
    <w:p w14:paraId="44FE0CF9">
      <w:pPr>
        <w:pStyle w:val="114"/>
        <w:rPr>
          <w:rFonts w:ascii="Times New Roman" w:hAnsi="Times New Roman"/>
        </w:rPr>
      </w:pPr>
      <w:r>
        <w:rPr>
          <w:rFonts w:ascii="Times New Roman" w:hAnsi="Times New Roman"/>
        </w:rPr>
        <w:tab/>
      </w:r>
      <m:oMath>
        <m:r>
          <m:rPr>
            <m:nor/>
          </m:rPr>
          <w:rPr>
            <w:rFonts w:ascii="Times New Roman" w:hAnsi="Times New Roman"/>
            <w:i/>
          </w:rPr>
          <m:t>RMSE</m:t>
        </m:r>
        <m:r>
          <m:rPr>
            <m:nor/>
            <m:sty m:val="p"/>
          </m:rPr>
          <w:rPr>
            <w:rFonts w:ascii="Times New Roman" w:hAnsi="Times New Roman"/>
            <w:b w:val="0"/>
            <w:i w:val="0"/>
          </w:rPr>
          <m:t>=</m:t>
        </m:r>
        <m:rad>
          <m:radPr>
            <m:degHide m:val="1"/>
            <m:ctrlPr>
              <w:rPr>
                <w:rFonts w:ascii="Cambria Math" w:hAnsi="Cambria Math"/>
                <w:i/>
                <w:iCs/>
              </w:rPr>
            </m:ctrlPr>
          </m:radPr>
          <m:deg>
            <m:ctrlPr>
              <w:rPr>
                <w:rFonts w:ascii="Cambria Math" w:hAnsi="Cambria Math"/>
                <w:i/>
                <w:iCs/>
              </w:rPr>
            </m:ctrlPr>
          </m:deg>
          <m:e>
            <m:f>
              <m:fPr>
                <m:ctrlPr>
                  <w:rPr>
                    <w:rFonts w:ascii="Cambria Math" w:hAnsi="Cambria Math"/>
                    <w:i/>
                    <w:iCs/>
                  </w:rPr>
                </m:ctrlPr>
              </m:fPr>
              <m:num>
                <m:nary>
                  <m:naryPr>
                    <m:chr m:val="∑"/>
                    <m:limLoc m:val="undOvr"/>
                    <m:ctrlPr>
                      <w:rPr>
                        <w:rFonts w:ascii="Cambria Math" w:hAnsi="Cambria Math"/>
                        <w:i/>
                        <w:iCs/>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iCs/>
                      </w:rPr>
                    </m:ctrlPr>
                  </m:sub>
                  <m:sup>
                    <m:r>
                      <m:rPr>
                        <m:nor/>
                      </m:rPr>
                      <w:rPr>
                        <w:rFonts w:ascii="Times New Roman" w:hAnsi="Times New Roman"/>
                        <w:i/>
                      </w:rPr>
                      <m:t>n</m:t>
                    </m:r>
                    <m:ctrlPr>
                      <w:rPr>
                        <w:rFonts w:ascii="Cambria Math" w:hAnsi="Cambria Math"/>
                        <w:i/>
                        <w:iCs/>
                      </w:rPr>
                    </m:ctrlPr>
                  </m:sup>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m:rPr>
                                    <m:nor/>
                                  </m:rPr>
                                  <w:rPr>
                                    <w:rFonts w:ascii="Times New Roman" w:hAnsi="Times New Roman"/>
                                    <w:i/>
                                  </w:rPr>
                                  <m:t>x</m:t>
                                </m:r>
                                <m:ctrlPr>
                                  <w:rPr>
                                    <w:rFonts w:ascii="Cambria Math" w:hAnsi="Cambria Math"/>
                                    <w:i/>
                                    <w:iCs/>
                                  </w:rPr>
                                </m:ctrlPr>
                              </m:e>
                              <m:sub>
                                <m:r>
                                  <m:rPr>
                                    <m:nor/>
                                  </m:rPr>
                                  <w:rPr>
                                    <w:rFonts w:ascii="Times New Roman" w:hAnsi="Times New Roman"/>
                                    <w:i/>
                                  </w:rPr>
                                  <m:t>i</m:t>
                                </m:r>
                                <m:ctrlPr>
                                  <w:rPr>
                                    <w:rFonts w:ascii="Cambria Math" w:hAnsi="Cambria Math"/>
                                    <w:i/>
                                    <w:iCs/>
                                  </w:rPr>
                                </m:ctrlPr>
                              </m:sub>
                            </m:sSub>
                            <m:r>
                              <m:rPr>
                                <m:nor/>
                                <m:sty m:val="p"/>
                              </m:rPr>
                              <w:rPr>
                                <w:rFonts w:ascii="Times New Roman" w:hAnsi="Times New Roman"/>
                                <w:b w:val="0"/>
                                <w:i w:val="0"/>
                              </w:rPr>
                              <m:t>-</m:t>
                            </m:r>
                            <m:sSub>
                              <m:sSubPr>
                                <m:ctrlPr>
                                  <w:rPr>
                                    <w:rFonts w:ascii="Cambria Math" w:hAnsi="Cambria Math"/>
                                    <w:i/>
                                    <w:iCs/>
                                  </w:rPr>
                                </m:ctrlPr>
                              </m:sSubPr>
                              <m:e>
                                <m:r>
                                  <m:rPr>
                                    <m:nor/>
                                  </m:rPr>
                                  <w:rPr>
                                    <w:rFonts w:ascii="Times New Roman" w:hAnsi="Times New Roman"/>
                                    <w:i/>
                                  </w:rPr>
                                  <m:t>y</m:t>
                                </m:r>
                                <m:ctrlPr>
                                  <w:rPr>
                                    <w:rFonts w:ascii="Cambria Math" w:hAnsi="Cambria Math"/>
                                    <w:i/>
                                    <w:iCs/>
                                  </w:rPr>
                                </m:ctrlPr>
                              </m:e>
                              <m:sub>
                                <m:r>
                                  <m:rPr>
                                    <m:nor/>
                                  </m:rPr>
                                  <w:rPr>
                                    <w:rFonts w:ascii="Times New Roman" w:hAnsi="Times New Roman"/>
                                    <w:i/>
                                  </w:rPr>
                                  <m:t>i</m:t>
                                </m:r>
                                <m:ctrlPr>
                                  <w:rPr>
                                    <w:rFonts w:ascii="Cambria Math" w:hAnsi="Cambria Math"/>
                                    <w:i/>
                                    <w:iCs/>
                                  </w:rPr>
                                </m:ctrlPr>
                              </m:sub>
                            </m:sSub>
                            <m:ctrlPr>
                              <w:rPr>
                                <w:rFonts w:ascii="Cambria Math" w:hAnsi="Cambria Math"/>
                                <w:i/>
                                <w:iCs/>
                              </w:rPr>
                            </m:ctrlPr>
                          </m:e>
                        </m:d>
                        <m:ctrlPr>
                          <w:rPr>
                            <w:rFonts w:ascii="Cambria Math" w:hAnsi="Cambria Math"/>
                            <w:i/>
                            <w:iCs/>
                          </w:rPr>
                        </m:ctrlPr>
                      </m:e>
                      <m:sup>
                        <m:r>
                          <m:rPr>
                            <m:nor/>
                            <m:sty m:val="p"/>
                          </m:rPr>
                          <w:rPr>
                            <w:rFonts w:ascii="Times New Roman" w:hAnsi="Times New Roman"/>
                            <w:b w:val="0"/>
                            <w:i w:val="0"/>
                          </w:rPr>
                          <m:t>2</m:t>
                        </m:r>
                        <m:ctrlPr>
                          <w:rPr>
                            <w:rFonts w:ascii="Cambria Math" w:hAnsi="Cambria Math"/>
                            <w:i/>
                            <w:iCs/>
                          </w:rPr>
                        </m:ctrlPr>
                      </m:sup>
                    </m:sSup>
                    <m:ctrlPr>
                      <w:rPr>
                        <w:rFonts w:ascii="Cambria Math" w:hAnsi="Cambria Math"/>
                        <w:i/>
                        <w:iCs/>
                      </w:rPr>
                    </m:ctrlPr>
                  </m:e>
                </m:nary>
                <m:ctrlPr>
                  <w:rPr>
                    <w:rFonts w:ascii="Cambria Math" w:hAnsi="Cambria Math"/>
                    <w:i/>
                    <w:iCs/>
                  </w:rPr>
                </m:ctrlPr>
              </m:num>
              <m:den>
                <m:r>
                  <m:rPr>
                    <m:nor/>
                  </m:rPr>
                  <w:rPr>
                    <w:rFonts w:ascii="Times New Roman" w:hAnsi="Times New Roman"/>
                    <w:i/>
                  </w:rPr>
                  <m:t>n</m:t>
                </m:r>
                <m:ctrlPr>
                  <w:rPr>
                    <w:rFonts w:ascii="Cambria Math" w:hAnsi="Cambria Math"/>
                    <w:i/>
                    <w:iCs/>
                  </w:rPr>
                </m:ctrlPr>
              </m:den>
            </m:f>
            <m:ctrlPr>
              <w:rPr>
                <w:rFonts w:ascii="Cambria Math" w:hAnsi="Cambria Math"/>
                <w:i/>
                <w:iCs/>
              </w:rPr>
            </m:ctrlPr>
          </m:e>
        </m:rad>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w:t>
      </w:r>
    </w:p>
    <w:p w14:paraId="61447AFB">
      <w:pPr>
        <w:pStyle w:val="56"/>
        <w:ind w:firstLine="420"/>
        <w:rPr>
          <w:rFonts w:ascii="Times New Roman" w:hAnsi="Times New Roman"/>
        </w:rPr>
      </w:pPr>
      <w:r>
        <w:rPr>
          <w:rFonts w:ascii="Times New Roman" w:hAnsi="Times New Roman"/>
        </w:rPr>
        <w:t>式中：</w:t>
      </w:r>
    </w:p>
    <w:p w14:paraId="1B2ED6D0">
      <w:pPr>
        <w:pStyle w:val="57"/>
        <w:ind w:firstLine="420"/>
      </w:pPr>
      <w:r>
        <w:t>n——样本数；</w:t>
      </w:r>
    </w:p>
    <w:p w14:paraId="6EF3A50E">
      <w:pPr>
        <w:pStyle w:val="57"/>
        <w:ind w:firstLine="420"/>
      </w:pPr>
      <w:r>
        <w:t>x</w:t>
      </w:r>
      <w:r>
        <w:rPr>
          <w:vertAlign w:val="subscript"/>
        </w:rPr>
        <w:t>i</w:t>
      </w:r>
      <w:r>
        <w:t>——第i个样本的实测值；</w:t>
      </w:r>
    </w:p>
    <w:p w14:paraId="140FEC78">
      <w:pPr>
        <w:pStyle w:val="57"/>
        <w:ind w:firstLine="420"/>
      </w:pPr>
      <w:r>
        <w:t>y</w:t>
      </w:r>
      <w:r>
        <w:rPr>
          <w:vertAlign w:val="subscript"/>
        </w:rPr>
        <w:t>i</w:t>
      </w:r>
      <w:r>
        <w:t>——第i个样本的反演值。</w:t>
      </w:r>
    </w:p>
    <w:p w14:paraId="41EF7E1A">
      <w:pPr>
        <w:pStyle w:val="106"/>
        <w:spacing w:before="120" w:after="120"/>
        <w:rPr>
          <w:rFonts w:ascii="Times New Roman"/>
        </w:rPr>
      </w:pPr>
      <w:bookmarkStart w:id="67" w:name="_Toc26638"/>
      <w:r>
        <w:rPr>
          <w:rFonts w:ascii="Times New Roman"/>
        </w:rPr>
        <w:t>重复性与检出限</w:t>
      </w:r>
      <w:bookmarkEnd w:id="67"/>
    </w:p>
    <w:p w14:paraId="1BC5825D">
      <w:pPr>
        <w:pStyle w:val="57"/>
        <w:ind w:firstLine="420"/>
      </w:pPr>
      <w:r>
        <w:t>记录计算获得的水质参数反演值Ai，重复10次，求其平均值</w:t>
      </w:r>
      <w:r>
        <w:rPr>
          <w:rFonts w:hint="eastAsia"/>
          <w:lang w:eastAsia="zh-CN"/>
        </w:rPr>
        <w:t>，</w:t>
      </w:r>
      <w:r>
        <w:t>按公式（13）计算标准偏差（S）。</w:t>
      </w:r>
    </w:p>
    <w:p w14:paraId="0326F83D">
      <w:pPr>
        <w:pStyle w:val="114"/>
        <w:rPr>
          <w:rFonts w:ascii="Times New Roman" w:hAnsi="Times New Roman"/>
        </w:rPr>
      </w:pPr>
      <w:r>
        <w:rPr>
          <w:rFonts w:ascii="Times New Roman" w:hAnsi="Times New Roman"/>
        </w:rPr>
        <w:tab/>
      </w:r>
      <m:oMath>
        <m:r>
          <m:rPr>
            <m:nor/>
          </m:rPr>
          <w:rPr>
            <w:rFonts w:ascii="Times New Roman" w:hAnsi="Times New Roman"/>
            <w:i/>
          </w:rPr>
          <m:t>S</m:t>
        </m:r>
        <m:r>
          <m:rPr>
            <m:nor/>
            <m:sty m:val="p"/>
          </m:rPr>
          <w:rPr>
            <w:rFonts w:ascii="Times New Roman" w:hAnsi="Times New Roman"/>
            <w:b w:val="0"/>
            <w:i w:val="0"/>
          </w:rPr>
          <m:t>=</m:t>
        </m:r>
        <m:rad>
          <m:radPr>
            <m:degHide m:val="1"/>
            <m:ctrlPr>
              <w:rPr>
                <w:rFonts w:ascii="Cambria Math" w:hAnsi="Cambria Math"/>
                <w:i/>
                <w:iCs/>
              </w:rPr>
            </m:ctrlPr>
          </m:radPr>
          <m:deg>
            <m:ctrlPr>
              <w:rPr>
                <w:rFonts w:ascii="Cambria Math" w:hAnsi="Cambria Math"/>
                <w:i/>
                <w:iCs/>
              </w:rPr>
            </m:ctrlPr>
          </m:deg>
          <m:e>
            <m:f>
              <m:fPr>
                <m:ctrlPr>
                  <w:rPr>
                    <w:rFonts w:ascii="Cambria Math" w:hAnsi="Cambria Math"/>
                    <w:i/>
                    <w:iCs/>
                  </w:rPr>
                </m:ctrlPr>
              </m:fPr>
              <m:num>
                <m:nary>
                  <m:naryPr>
                    <m:chr m:val="∑"/>
                    <m:ctrlPr>
                      <w:rPr>
                        <w:rFonts w:ascii="Cambria Math" w:hAnsi="Cambria Math"/>
                        <w:i/>
                        <w:iCs/>
                      </w:rPr>
                    </m:ctrlPr>
                  </m:naryPr>
                  <m:sub>
                    <m:r>
                      <m:rPr>
                        <m:nor/>
                      </m:rPr>
                      <w:rPr>
                        <w:rFonts w:ascii="Times New Roman" w:hAnsi="Times New Roman"/>
                        <w:i/>
                      </w:rPr>
                      <m:t>i</m:t>
                    </m:r>
                    <m:r>
                      <m:rPr>
                        <m:nor/>
                        <m:sty m:val="p"/>
                      </m:rPr>
                      <w:rPr>
                        <w:rFonts w:ascii="Times New Roman" w:hAnsi="Times New Roman"/>
                        <w:b w:val="0"/>
                        <w:i w:val="0"/>
                      </w:rPr>
                      <m:t>=1</m:t>
                    </m:r>
                    <m:ctrlPr>
                      <w:rPr>
                        <w:rFonts w:ascii="Cambria Math" w:hAnsi="Cambria Math"/>
                        <w:i/>
                        <w:iCs/>
                      </w:rPr>
                    </m:ctrlPr>
                  </m:sub>
                  <m:sup>
                    <m:r>
                      <m:rPr>
                        <m:nor/>
                        <m:sty m:val="p"/>
                      </m:rPr>
                      <w:rPr>
                        <w:rFonts w:ascii="Times New Roman" w:hAnsi="Times New Roman"/>
                        <w:b w:val="0"/>
                        <w:i w:val="0"/>
                      </w:rPr>
                      <m:t>10</m:t>
                    </m:r>
                    <m:ctrlPr>
                      <w:rPr>
                        <w:rFonts w:ascii="Cambria Math" w:hAnsi="Cambria Math"/>
                        <w:i/>
                        <w:iCs/>
                      </w:rPr>
                    </m:ctrlPr>
                  </m:sup>
                  <m:e>
                    <m:r>
                      <m:rPr>
                        <m:nor/>
                        <m:sty m:val="p"/>
                      </m:rPr>
                      <w:rPr>
                        <w:rFonts w:ascii="Times New Roman" w:hAnsi="Times New Roman"/>
                        <w:b w:val="0"/>
                        <w:i w:val="0"/>
                      </w:rPr>
                      <m:t>(</m:t>
                    </m:r>
                    <m:sSub>
                      <m:sSubPr>
                        <m:ctrlPr>
                          <w:rPr>
                            <w:rFonts w:ascii="Cambria Math" w:hAnsi="Cambria Math"/>
                            <w:i/>
                            <w:iCs/>
                          </w:rPr>
                        </m:ctrlPr>
                      </m:sSubPr>
                      <m:e>
                        <m:r>
                          <m:rPr>
                            <m:nor/>
                          </m:rPr>
                          <w:rPr>
                            <w:rFonts w:ascii="Times New Roman" w:hAnsi="Times New Roman"/>
                            <w:i/>
                          </w:rPr>
                          <m:t>A</m:t>
                        </m:r>
                        <m:ctrlPr>
                          <w:rPr>
                            <w:rFonts w:ascii="Cambria Math" w:hAnsi="Cambria Math"/>
                            <w:i/>
                            <w:iCs/>
                          </w:rPr>
                        </m:ctrlPr>
                      </m:e>
                      <m:sub>
                        <m:r>
                          <m:rPr>
                            <m:nor/>
                          </m:rPr>
                          <w:rPr>
                            <w:rFonts w:ascii="Times New Roman" w:hAnsi="Times New Roman"/>
                            <w:i/>
                          </w:rPr>
                          <m:t>i</m:t>
                        </m:r>
                        <m:ctrlPr>
                          <w:rPr>
                            <w:rFonts w:ascii="Cambria Math" w:hAnsi="Cambria Math"/>
                            <w:i/>
                            <w:iCs/>
                          </w:rPr>
                        </m:ctrlPr>
                      </m:sub>
                    </m:sSub>
                    <m:r>
                      <m:rPr>
                        <m:nor/>
                        <m:sty m:val="p"/>
                      </m:rPr>
                      <w:rPr>
                        <w:rFonts w:ascii="Times New Roman" w:hAnsi="Times New Roman"/>
                        <w:b w:val="0"/>
                        <w:i w:val="0"/>
                      </w:rPr>
                      <m:t>-</m:t>
                    </m:r>
                    <m:bar>
                      <m:barPr>
                        <m:pos m:val="top"/>
                        <m:ctrlPr>
                          <w:rPr>
                            <w:rFonts w:ascii="Cambria Math" w:hAnsi="Cambria Math"/>
                            <w:i/>
                            <w:iCs/>
                          </w:rPr>
                        </m:ctrlPr>
                      </m:barPr>
                      <m:e>
                        <m:r>
                          <m:rPr>
                            <m:nor/>
                          </m:rPr>
                          <w:rPr>
                            <w:rFonts w:ascii="Times New Roman" w:hAnsi="Times New Roman"/>
                            <w:i/>
                          </w:rPr>
                          <m:t>A</m:t>
                        </m:r>
                        <m:ctrlPr>
                          <w:rPr>
                            <w:rFonts w:ascii="Cambria Math" w:hAnsi="Cambria Math"/>
                            <w:i/>
                            <w:iCs/>
                          </w:rPr>
                        </m:ctrlPr>
                      </m:e>
                    </m:bar>
                    <m:sSup>
                      <m:sSupPr>
                        <m:ctrlPr>
                          <w:rPr>
                            <w:rFonts w:ascii="Cambria Math" w:hAnsi="Cambria Math"/>
                            <w:i/>
                            <w:iCs/>
                          </w:rPr>
                        </m:ctrlPr>
                      </m:sSupPr>
                      <m:e>
                        <m:r>
                          <m:rPr>
                            <m:nor/>
                            <m:sty m:val="p"/>
                          </m:rPr>
                          <w:rPr>
                            <w:rFonts w:ascii="Times New Roman" w:hAnsi="Times New Roman"/>
                            <w:b w:val="0"/>
                            <w:i w:val="0"/>
                          </w:rPr>
                          <m:t>)</m:t>
                        </m:r>
                        <m:ctrlPr>
                          <w:rPr>
                            <w:rFonts w:ascii="Cambria Math" w:hAnsi="Cambria Math"/>
                            <w:i/>
                            <w:iCs/>
                          </w:rPr>
                        </m:ctrlPr>
                      </m:e>
                      <m:sup>
                        <m:r>
                          <m:rPr>
                            <m:nor/>
                            <m:sty m:val="p"/>
                          </m:rPr>
                          <w:rPr>
                            <w:rFonts w:ascii="Times New Roman" w:hAnsi="Times New Roman"/>
                            <w:b w:val="0"/>
                            <w:i w:val="0"/>
                          </w:rPr>
                          <m:t>2</m:t>
                        </m:r>
                        <m:ctrlPr>
                          <w:rPr>
                            <w:rFonts w:ascii="Cambria Math" w:hAnsi="Cambria Math"/>
                            <w:i/>
                            <w:iCs/>
                          </w:rPr>
                        </m:ctrlPr>
                      </m:sup>
                    </m:sSup>
                    <m:ctrlPr>
                      <w:rPr>
                        <w:rFonts w:ascii="Cambria Math" w:hAnsi="Cambria Math"/>
                        <w:i/>
                        <w:iCs/>
                      </w:rPr>
                    </m:ctrlPr>
                  </m:e>
                </m:nary>
                <m:ctrlPr>
                  <w:rPr>
                    <w:rFonts w:ascii="Cambria Math" w:hAnsi="Cambria Math"/>
                    <w:i/>
                    <w:iCs/>
                  </w:rPr>
                </m:ctrlPr>
              </m:num>
              <m:den>
                <m:r>
                  <m:rPr>
                    <m:nor/>
                    <m:sty m:val="p"/>
                  </m:rPr>
                  <w:rPr>
                    <w:rFonts w:ascii="Times New Roman" w:hAnsi="Times New Roman"/>
                    <w:b w:val="0"/>
                    <w:i w:val="0"/>
                  </w:rPr>
                  <m:t>9</m:t>
                </m:r>
                <m:ctrlPr>
                  <w:rPr>
                    <w:rFonts w:ascii="Cambria Math" w:hAnsi="Cambria Math"/>
                    <w:i/>
                    <w:iCs/>
                  </w:rPr>
                </m:ctrlPr>
              </m:den>
            </m:f>
            <m:ctrlPr>
              <w:rPr>
                <w:rFonts w:ascii="Cambria Math" w:hAnsi="Cambria Math"/>
                <w:i/>
                <w:iCs/>
              </w:rPr>
            </m:ctrlPr>
          </m:e>
        </m:rad>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SEQ 公式 \* ARABIC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w:t>
      </w:r>
    </w:p>
    <w:p w14:paraId="090DF675">
      <w:pPr>
        <w:pStyle w:val="57"/>
        <w:ind w:firstLine="420"/>
        <w:rPr>
          <w:lang w:val="en-GB"/>
        </w:rPr>
      </w:pPr>
      <w:r>
        <w:t>重复性以相对标准偏差</w:t>
      </w:r>
      <w:r>
        <w:rPr>
          <w:position w:val="-12"/>
          <w:szCs w:val="21"/>
          <w:lang w:val="en-GB"/>
        </w:rPr>
        <w:object>
          <v:shape id="_x0000_i1026" o:spt="75" type="#_x0000_t75" style="height:18.25pt;width:17.3pt;" o:ole="t" filled="f" o:preferrelative="t" stroked="f" coordsize="21600,21600">
            <v:path/>
            <v:fill on="f" focussize="0,0"/>
            <v:stroke on="f" joinstyle="miter"/>
            <v:imagedata r:id="rId34" o:title=""/>
            <o:lock v:ext="edit" aspectratio="t"/>
            <w10:wrap type="none"/>
            <w10:anchorlock/>
          </v:shape>
          <o:OLEObject Type="Embed" ProgID="Equation.3" ShapeID="_x0000_i1026" DrawAspect="Content" ObjectID="_1468075726" r:id="rId33">
            <o:LockedField>false</o:LockedField>
          </o:OLEObject>
        </w:object>
      </w:r>
      <w:r>
        <w:rPr>
          <w:lang w:val="en-GB"/>
        </w:rPr>
        <w:t>表示，按公式（</w:t>
      </w:r>
      <w:r>
        <w:t>14</w:t>
      </w:r>
      <w:r>
        <w:rPr>
          <w:lang w:val="en-GB"/>
        </w:rPr>
        <w:t>）计算。</w:t>
      </w:r>
    </w:p>
    <w:p w14:paraId="77B4A61E">
      <w:pPr>
        <w:pStyle w:val="114"/>
        <w:rPr>
          <w:rFonts w:ascii="Times New Roman" w:hAnsi="Times New Roman"/>
          <w:lang w:val="en-GB"/>
        </w:rPr>
      </w:pPr>
      <w:r>
        <w:rPr>
          <w:rFonts w:ascii="Times New Roman" w:hAnsi="Times New Roman"/>
          <w:lang w:val="en-GB"/>
        </w:rPr>
        <w:tab/>
      </w:r>
      <m:oMath>
        <m:sSub>
          <m:sSubPr>
            <m:ctrlPr>
              <w:rPr>
                <w:rFonts w:ascii="Cambria Math" w:hAnsi="Cambria Math"/>
                <w:i/>
              </w:rPr>
            </m:ctrlPr>
          </m:sSubPr>
          <m:e>
            <m:r>
              <m:rPr>
                <m:nor/>
              </m:rPr>
              <w:rPr>
                <w:rFonts w:ascii="Times New Roman" w:hAnsi="Times New Roman"/>
                <w:i/>
              </w:rPr>
              <m:t>C</m:t>
            </m:r>
            <m:ctrlPr>
              <w:rPr>
                <w:rFonts w:ascii="Cambria Math" w:hAnsi="Cambria Math"/>
                <w:i/>
              </w:rPr>
            </m:ctrlPr>
          </m:e>
          <m:sub>
            <m:r>
              <m:rPr>
                <m:nor/>
              </m:rPr>
              <w:rPr>
                <w:rFonts w:ascii="Times New Roman" w:hAnsi="Times New Roman"/>
                <w:i/>
              </w:rPr>
              <m:t>V</m:t>
            </m:r>
            <m:ctrlPr>
              <w:rPr>
                <w:rFonts w:ascii="Cambria Math" w:hAnsi="Cambria Math"/>
                <w:i/>
              </w:rPr>
            </m:ctrlPr>
          </m:sub>
        </m:sSub>
        <m:r>
          <m:rPr>
            <m:nor/>
            <m:sty m:val="p"/>
          </m:rPr>
          <w:rPr>
            <w:rFonts w:ascii="Times New Roman" w:hAnsi="Times New Roman"/>
            <w:b w:val="0"/>
            <w:i w:val="0"/>
          </w:rPr>
          <m:t>=</m:t>
        </m:r>
        <m:f>
          <m:fPr>
            <m:ctrlPr>
              <w:rPr>
                <w:rFonts w:ascii="Cambria Math" w:hAnsi="Cambria Math"/>
                <w:i/>
              </w:rPr>
            </m:ctrlPr>
          </m:fPr>
          <m:num>
            <m:r>
              <m:rPr>
                <m:nor/>
              </m:rPr>
              <w:rPr>
                <w:rFonts w:ascii="Times New Roman" w:hAnsi="Times New Roman"/>
                <w:i/>
              </w:rPr>
              <m:t>S</m:t>
            </m:r>
            <m:ctrlPr>
              <w:rPr>
                <w:rFonts w:ascii="Cambria Math" w:hAnsi="Cambria Math"/>
                <w:i/>
              </w:rPr>
            </m:ctrlPr>
          </m:num>
          <m:den>
            <m:bar>
              <m:barPr>
                <m:pos m:val="top"/>
                <m:ctrlPr>
                  <w:rPr>
                    <w:rFonts w:ascii="Cambria Math" w:hAnsi="Cambria Math"/>
                    <w:i/>
                  </w:rPr>
                </m:ctrlPr>
              </m:barPr>
              <m:e>
                <m:r>
                  <m:rPr>
                    <m:nor/>
                  </m:rPr>
                  <w:rPr>
                    <w:rFonts w:ascii="Times New Roman" w:hAnsi="Times New Roman"/>
                    <w:i/>
                  </w:rPr>
                  <m:t>A</m:t>
                </m:r>
                <m:ctrlPr>
                  <w:rPr>
                    <w:rFonts w:ascii="Cambria Math" w:hAnsi="Cambria Math"/>
                    <w:i/>
                  </w:rPr>
                </m:ctrlPr>
              </m:e>
            </m:bar>
            <m:ctrlPr>
              <w:rPr>
                <w:rFonts w:ascii="Cambria Math" w:hAnsi="Cambria Math"/>
                <w:i/>
              </w:rPr>
            </m:ctrlPr>
          </m:den>
        </m:f>
        <m:r>
          <m:rPr>
            <m:nor/>
            <m:sty m:val="p"/>
          </m:rPr>
          <w:rPr>
            <w:rFonts w:ascii="Times New Roman" w:hAnsi="Times New Roman"/>
            <w:b w:val="0"/>
            <w:i w:val="0"/>
          </w:rPr>
          <m:t>×100%</m:t>
        </m:r>
      </m:oMath>
      <w:r>
        <w:rPr>
          <w:rFonts w:ascii="Times New Roman" w:hAnsi="Times New Roman" w:eastAsia="微软雅黑"/>
          <w:lang w:val="en-GB"/>
        </w:rPr>
        <w:tab/>
      </w:r>
      <w:r>
        <w:rPr>
          <w:rFonts w:ascii="Times New Roman" w:hAnsi="Times New Roman"/>
          <w:lang w:val="en-GB"/>
        </w:rPr>
        <w:t>(</w:t>
      </w:r>
      <w:r>
        <w:rPr>
          <w:rFonts w:ascii="Times New Roman" w:hAnsi="Times New Roman"/>
          <w:lang w:val="en-GB"/>
        </w:rPr>
        <w:fldChar w:fldCharType="begin"/>
      </w:r>
      <w:r>
        <w:rPr>
          <w:rFonts w:ascii="Times New Roman" w:hAnsi="Times New Roman"/>
          <w:lang w:val="en-GB"/>
        </w:rPr>
        <w:instrText xml:space="preserve"> SEQ 公式 \* ARABIC </w:instrText>
      </w:r>
      <w:r>
        <w:rPr>
          <w:rFonts w:ascii="Times New Roman" w:hAnsi="Times New Roman"/>
          <w:lang w:val="en-GB"/>
        </w:rPr>
        <w:fldChar w:fldCharType="separate"/>
      </w:r>
      <w:r>
        <w:rPr>
          <w:rFonts w:ascii="Times New Roman" w:hAnsi="Times New Roman"/>
          <w:lang w:val="en-GB"/>
        </w:rPr>
        <w:t>14</w:t>
      </w:r>
      <w:r>
        <w:rPr>
          <w:rFonts w:ascii="Times New Roman" w:hAnsi="Times New Roman"/>
          <w:lang w:val="en-GB"/>
        </w:rPr>
        <w:fldChar w:fldCharType="end"/>
      </w:r>
      <w:r>
        <w:rPr>
          <w:rFonts w:ascii="Times New Roman" w:hAnsi="Times New Roman"/>
          <w:lang w:val="en-GB"/>
        </w:rPr>
        <w:t>)</w:t>
      </w:r>
    </w:p>
    <w:p w14:paraId="6855C5E5">
      <w:pPr>
        <w:pStyle w:val="57"/>
        <w:ind w:firstLine="420"/>
        <w:rPr>
          <w:lang w:val="en-GB"/>
        </w:rPr>
      </w:pPr>
      <w:r>
        <w:rPr>
          <w:lang w:val="en-GB"/>
        </w:rPr>
        <w:t>检出限D.L按公式（</w:t>
      </w:r>
      <w:r>
        <w:t>7.5</w:t>
      </w:r>
      <w:r>
        <w:rPr>
          <w:lang w:val="en-GB"/>
        </w:rPr>
        <w:t>）计算：</w:t>
      </w:r>
    </w:p>
    <w:p w14:paraId="3D95E099">
      <w:pPr>
        <w:pStyle w:val="114"/>
        <w:rPr>
          <w:rFonts w:ascii="Times New Roman" w:hAnsi="Times New Roman"/>
          <w:lang w:val="en-GB"/>
        </w:rPr>
      </w:pPr>
      <w:r>
        <w:rPr>
          <w:rFonts w:ascii="Times New Roman" w:hAnsi="Times New Roman"/>
          <w:lang w:val="en-GB"/>
        </w:rPr>
        <w:tab/>
      </w:r>
      <m:oMath>
        <m:r>
          <m:rPr>
            <m:nor/>
          </m:rPr>
          <w:rPr>
            <w:rFonts w:ascii="Times New Roman" w:hAnsi="Times New Roman"/>
            <w:i/>
          </w:rPr>
          <m:t>D</m:t>
        </m:r>
        <m:r>
          <m:rPr>
            <m:nor/>
            <m:sty m:val="p"/>
          </m:rPr>
          <w:rPr>
            <w:rFonts w:ascii="Times New Roman" w:hAnsi="Times New Roman"/>
            <w:b w:val="0"/>
            <w:i w:val="0"/>
          </w:rPr>
          <m:t>.</m:t>
        </m:r>
        <m:r>
          <m:rPr>
            <m:nor/>
          </m:rPr>
          <w:rPr>
            <w:rFonts w:ascii="Times New Roman" w:hAnsi="Times New Roman"/>
            <w:i/>
          </w:rPr>
          <m:t>L</m:t>
        </m:r>
        <m:r>
          <m:rPr>
            <m:nor/>
            <m:sty m:val="p"/>
          </m:rPr>
          <w:rPr>
            <w:rFonts w:ascii="Times New Roman" w:hAnsi="Times New Roman"/>
            <w:b w:val="0"/>
            <w:i w:val="0"/>
          </w:rPr>
          <m:t>=</m:t>
        </m:r>
        <m:r>
          <m:rPr>
            <m:nor/>
          </m:rPr>
          <w:rPr>
            <w:rFonts w:ascii="Times New Roman" w:hAnsi="Times New Roman"/>
            <w:i/>
          </w:rPr>
          <m:t>K</m:t>
        </m:r>
        <m:sSub>
          <m:sSubPr>
            <m:ctrlPr>
              <w:rPr>
                <w:rFonts w:ascii="Cambria Math" w:hAnsi="Cambria Math"/>
                <w:i/>
                <w:iCs/>
              </w:rPr>
            </m:ctrlPr>
          </m:sSubPr>
          <m:e>
            <m:r>
              <m:rPr>
                <m:nor/>
              </m:rPr>
              <w:rPr>
                <w:rFonts w:ascii="Times New Roman" w:hAnsi="Times New Roman"/>
                <w:i/>
              </w:rPr>
              <m:t>S</m:t>
            </m:r>
            <m:ctrlPr>
              <w:rPr>
                <w:rFonts w:ascii="Cambria Math" w:hAnsi="Cambria Math"/>
                <w:i/>
                <w:iCs/>
              </w:rPr>
            </m:ctrlPr>
          </m:e>
          <m:sub>
            <m:r>
              <m:rPr>
                <m:nor/>
              </m:rPr>
              <w:rPr>
                <w:rFonts w:ascii="Times New Roman" w:hAnsi="Times New Roman"/>
                <w:i/>
              </w:rPr>
              <m:t>b</m:t>
            </m:r>
            <m:ctrlPr>
              <w:rPr>
                <w:rFonts w:ascii="Cambria Math" w:hAnsi="Cambria Math"/>
                <w:i/>
                <w:iCs/>
              </w:rPr>
            </m:ctrlPr>
          </m:sub>
        </m:sSub>
        <m:r>
          <m:rPr>
            <m:nor/>
            <m:sty m:val="p"/>
          </m:rPr>
          <w:rPr>
            <w:rFonts w:ascii="Times New Roman" w:hAnsi="Times New Roman"/>
            <w:b w:val="0"/>
            <w:i w:val="0"/>
          </w:rPr>
          <m:t>/</m:t>
        </m:r>
        <m:r>
          <m:rPr>
            <m:nor/>
          </m:rPr>
          <w:rPr>
            <w:rFonts w:ascii="Times New Roman" w:hAnsi="Times New Roman"/>
            <w:i/>
          </w:rPr>
          <m:t>a</m:t>
        </m:r>
      </m:oMath>
      <w:r>
        <w:rPr>
          <w:rFonts w:ascii="Times New Roman" w:hAnsi="Times New Roman" w:eastAsia="微软雅黑"/>
          <w:lang w:val="en-GB"/>
        </w:rPr>
        <w:tab/>
      </w:r>
      <w:r>
        <w:rPr>
          <w:rFonts w:ascii="Times New Roman" w:hAnsi="Times New Roman"/>
          <w:lang w:val="en-GB"/>
        </w:rPr>
        <w:t>(</w:t>
      </w:r>
      <w:r>
        <w:rPr>
          <w:rFonts w:ascii="Times New Roman" w:hAnsi="Times New Roman"/>
          <w:lang w:val="en-GB"/>
        </w:rPr>
        <w:fldChar w:fldCharType="begin"/>
      </w:r>
      <w:r>
        <w:rPr>
          <w:rFonts w:ascii="Times New Roman" w:hAnsi="Times New Roman"/>
          <w:lang w:val="en-GB"/>
        </w:rPr>
        <w:instrText xml:space="preserve"> SEQ 公式 \* ARABIC </w:instrText>
      </w:r>
      <w:r>
        <w:rPr>
          <w:rFonts w:ascii="Times New Roman" w:hAnsi="Times New Roman"/>
          <w:lang w:val="en-GB"/>
        </w:rPr>
        <w:fldChar w:fldCharType="separate"/>
      </w:r>
      <w:r>
        <w:rPr>
          <w:rFonts w:ascii="Times New Roman" w:hAnsi="Times New Roman"/>
          <w:lang w:val="en-GB"/>
        </w:rPr>
        <w:t>15</w:t>
      </w:r>
      <w:r>
        <w:rPr>
          <w:rFonts w:ascii="Times New Roman" w:hAnsi="Times New Roman"/>
          <w:lang w:val="en-GB"/>
        </w:rPr>
        <w:fldChar w:fldCharType="end"/>
      </w:r>
      <w:r>
        <w:rPr>
          <w:rFonts w:ascii="Times New Roman" w:hAnsi="Times New Roman"/>
          <w:lang w:val="en-GB"/>
        </w:rPr>
        <w:t>)</w:t>
      </w:r>
    </w:p>
    <w:p w14:paraId="39D61178">
      <w:pPr>
        <w:pStyle w:val="57"/>
        <w:ind w:firstLine="420"/>
      </w:pPr>
      <w:r>
        <w:t>式中：</w:t>
      </w:r>
    </w:p>
    <w:p w14:paraId="6468F1CC">
      <w:pPr>
        <w:pStyle w:val="57"/>
        <w:ind w:firstLine="420"/>
        <w:rPr>
          <w:lang w:val="en-GB"/>
        </w:rPr>
      </w:pPr>
      <w:r>
        <w:rPr>
          <w:position w:val="-12"/>
          <w:szCs w:val="21"/>
          <w:lang w:val="en-GB"/>
        </w:rPr>
        <w:object>
          <v:shape id="_x0000_i1027" o:spt="75" type="#_x0000_t75" style="height:18.25pt;width:14.15pt;" o:ole="t" filled="f" o:preferrelative="t" stroked="f" coordsize="21600,21600">
            <v:path/>
            <v:fill on="f" focussize="0,0"/>
            <v:stroke on="f" joinstyle="miter"/>
            <v:imagedata r:id="rId36" o:title=""/>
            <o:lock v:ext="edit" aspectratio="t"/>
            <w10:wrap type="none"/>
            <w10:anchorlock/>
          </v:shape>
          <o:OLEObject Type="Embed" ProgID="Equation.3" ShapeID="_x0000_i1027" DrawAspect="Content" ObjectID="_1468075727" r:id="rId35">
            <o:LockedField>false</o:LockedField>
          </o:OLEObject>
        </w:object>
      </w:r>
      <w:r>
        <w:t>——</w:t>
      </w:r>
      <w:r>
        <w:rPr>
          <w:lang w:val="en-GB"/>
        </w:rPr>
        <w:t>空白多次测得水质参数反演值的标准偏差；</w:t>
      </w:r>
    </w:p>
    <w:p w14:paraId="29110AB5">
      <w:pPr>
        <w:pStyle w:val="57"/>
        <w:ind w:firstLine="420"/>
        <w:rPr>
          <w:lang w:val="en-GB"/>
        </w:rPr>
      </w:pPr>
      <w:r>
        <w:rPr>
          <w:lang w:val="en-GB"/>
        </w:rPr>
        <w:t>K</w:t>
      </w:r>
      <w:r>
        <w:t>——</w:t>
      </w:r>
      <w:r>
        <w:rPr>
          <w:lang w:val="en-GB"/>
        </w:rPr>
        <w:t>根据一定置信水平确定的系数，</w:t>
      </w:r>
      <w:r>
        <w:t>基本需达到</w:t>
      </w:r>
      <w:r>
        <w:rPr>
          <w:lang w:val="en-GB"/>
        </w:rPr>
        <w:t>置信水平保持90%以上。</w:t>
      </w:r>
    </w:p>
    <w:p w14:paraId="0DD4954D">
      <w:pPr>
        <w:pStyle w:val="106"/>
        <w:spacing w:before="120" w:after="120"/>
        <w:rPr>
          <w:rFonts w:ascii="Times New Roman"/>
        </w:rPr>
      </w:pPr>
      <w:bookmarkStart w:id="68" w:name="_Toc1743"/>
      <w:bookmarkEnd w:id="68"/>
      <w:bookmarkStart w:id="69" w:name="_Toc16454"/>
      <w:bookmarkEnd w:id="69"/>
      <w:bookmarkStart w:id="70" w:name="_Toc22037"/>
      <w:bookmarkEnd w:id="70"/>
      <w:bookmarkStart w:id="71" w:name="_Toc28165"/>
      <w:r>
        <w:rPr>
          <w:rFonts w:ascii="Times New Roman"/>
        </w:rPr>
        <w:t>数据稳定性</w:t>
      </w:r>
      <w:bookmarkEnd w:id="71"/>
    </w:p>
    <w:p w14:paraId="2F7072C1">
      <w:pPr>
        <w:pStyle w:val="57"/>
        <w:ind w:firstLine="420"/>
      </w:pPr>
      <w:r>
        <w:t>数据可用性：各光谱数据获取率达到90%以上，数据丢包率不大于1%；</w:t>
      </w:r>
    </w:p>
    <w:p w14:paraId="07EF3068">
      <w:pPr>
        <w:pStyle w:val="57"/>
        <w:ind w:firstLine="420"/>
      </w:pPr>
      <w:r>
        <w:t>数据质控合格率（%）=（质控合格总小时数/有效运行总小时数）*100%；</w:t>
      </w:r>
    </w:p>
    <w:p w14:paraId="7E20B488">
      <w:pPr>
        <w:pStyle w:val="57"/>
        <w:ind w:firstLine="420"/>
      </w:pPr>
      <w:r>
        <w:t>质控合格率：传输到数据的光谱监测数据，有效数据（异常数据，如小于0的数据或者大于9999的数据）数据质控合格率达到85%（以小时值计）以上；</w:t>
      </w:r>
    </w:p>
    <w:p w14:paraId="47BAD2CC">
      <w:pPr>
        <w:pStyle w:val="57"/>
        <w:ind w:firstLine="420"/>
      </w:pPr>
      <w:r>
        <w:t>有效运行总小时数=运行总时数-无效数据时数。</w:t>
      </w:r>
    </w:p>
    <w:p w14:paraId="6535ACA8">
      <w:pPr>
        <w:pStyle w:val="105"/>
        <w:spacing w:before="240" w:after="240"/>
        <w:rPr>
          <w:rFonts w:ascii="Times New Roman"/>
        </w:rPr>
      </w:pPr>
      <w:bookmarkStart w:id="72" w:name="_Toc20732"/>
      <w:bookmarkStart w:id="73" w:name="_Toc13654"/>
      <w:r>
        <w:rPr>
          <w:rFonts w:ascii="Times New Roman"/>
        </w:rPr>
        <w:t>地基高光谱富营养化监测设备安装及运行维护</w:t>
      </w:r>
      <w:bookmarkEnd w:id="72"/>
      <w:bookmarkEnd w:id="73"/>
    </w:p>
    <w:p w14:paraId="572D8CFC">
      <w:pPr>
        <w:pStyle w:val="106"/>
        <w:spacing w:before="120" w:after="120"/>
        <w:rPr>
          <w:rFonts w:ascii="Times New Roman"/>
        </w:rPr>
      </w:pPr>
      <w:bookmarkStart w:id="74" w:name="_Toc14708"/>
      <w:r>
        <w:rPr>
          <w:rFonts w:ascii="Times New Roman"/>
        </w:rPr>
        <w:t>基础安装条件</w:t>
      </w:r>
      <w:bookmarkEnd w:id="74"/>
    </w:p>
    <w:p w14:paraId="0986853A">
      <w:pPr>
        <w:pStyle w:val="57"/>
        <w:ind w:firstLine="420"/>
      </w:pPr>
      <w:r>
        <w:t>基础：应选择地质条件稳定、视野开阔无遮挡、电磁干扰较少的水边位置。</w:t>
      </w:r>
    </w:p>
    <w:p w14:paraId="08B1C835">
      <w:pPr>
        <w:pStyle w:val="57"/>
        <w:ind w:firstLine="420"/>
      </w:pPr>
      <w:r>
        <w:t>供电：地基高光谱遥感系统建设选址应充分考虑供电保障，避免因供电模块中断影响设备正常运行。供电可采用外接市电，市电接入电压220 V，频率50 Hz。</w:t>
      </w:r>
    </w:p>
    <w:p w14:paraId="275A4D55">
      <w:pPr>
        <w:pStyle w:val="57"/>
        <w:ind w:firstLine="420"/>
      </w:pPr>
      <w:r>
        <w:t>网络：应至少保证北斗、GSM、GPRS、5G\4G等一种无线通信网络覆盖或采用有线通信网络，确保数据传输顺畅。</w:t>
      </w:r>
    </w:p>
    <w:p w14:paraId="4E557292">
      <w:pPr>
        <w:pStyle w:val="57"/>
        <w:ind w:firstLine="420"/>
      </w:pPr>
      <w:r>
        <w:t>防雷：根据地区防雷要求安装避雷针和埋设地网，接地阻值应不大于4 Ω，接地装置应当符合DL/T 5161.6-2018的要求。</w:t>
      </w:r>
    </w:p>
    <w:p w14:paraId="3F1929D3">
      <w:pPr>
        <w:pStyle w:val="57"/>
        <w:ind w:firstLine="420"/>
      </w:pPr>
      <w:r>
        <w:t>架设位置：高光谱遥感系统架设位置应接近监测水体，距地面高度不低于30 cm，防止环境积水对设备底部进行侵蚀。</w:t>
      </w:r>
    </w:p>
    <w:p w14:paraId="436654E0">
      <w:pPr>
        <w:pStyle w:val="57"/>
        <w:ind w:firstLine="420"/>
      </w:pPr>
      <w:r>
        <w:t>抽水装置：进水端一般加装杂质异物过滤装配，防止设备抽入直径较大异物和颗粒堵塞水泵。采用一用一备抽水装置。</w:t>
      </w:r>
    </w:p>
    <w:p w14:paraId="47D2EB51">
      <w:pPr>
        <w:pStyle w:val="106"/>
        <w:spacing w:before="120" w:after="120"/>
        <w:rPr>
          <w:rFonts w:ascii="Times New Roman"/>
        </w:rPr>
      </w:pPr>
      <w:bookmarkStart w:id="75" w:name="_Toc15392"/>
      <w:r>
        <w:rPr>
          <w:rFonts w:ascii="Times New Roman"/>
        </w:rPr>
        <w:t>岸基式安装</w:t>
      </w:r>
      <w:bookmarkEnd w:id="75"/>
    </w:p>
    <w:p w14:paraId="019A6962">
      <w:pPr>
        <w:pStyle w:val="57"/>
        <w:ind w:firstLine="420"/>
      </w:pPr>
      <w:r>
        <w:t>岸基式富营养化高光谱水环境监测装备所采用的光源为全光谱稳压卤钨灯光源或LED光源，光谱传感器模组与水面倾斜45°，使其接收到光源下方水的大部分漫反射信号，最大程度地提高有效信息含量，减少无关信息干扰，其中光源和光谱传感器模组的位置距设备内壁各5 nm，如图3。</w:t>
      </w:r>
    </w:p>
    <w:p w14:paraId="1BC977BF">
      <w:pPr>
        <w:spacing w:line="240" w:lineRule="auto"/>
        <w:jc w:val="center"/>
        <w:rPr>
          <w:rFonts w:ascii="Times New Roman" w:hAnsi="Times New Roman"/>
        </w:rPr>
      </w:pPr>
      <w:r>
        <w:rPr>
          <w:rFonts w:ascii="Times New Roman" w:hAnsi="Times New Roman"/>
        </w:rPr>
        <w:drawing>
          <wp:inline distT="0" distB="0" distL="114300" distR="114300">
            <wp:extent cx="5509895" cy="3015615"/>
            <wp:effectExtent l="0" t="0" r="0" b="0"/>
            <wp:docPr id="1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6"/>
                    <pic:cNvPicPr>
                      <a:picLocks noChangeAspect="1"/>
                    </pic:cNvPicPr>
                  </pic:nvPicPr>
                  <pic:blipFill>
                    <a:blip r:embed="rId37"/>
                    <a:srcRect t="2764"/>
                    <a:stretch>
                      <a:fillRect/>
                    </a:stretch>
                  </pic:blipFill>
                  <pic:spPr>
                    <a:xfrm>
                      <a:off x="0" y="0"/>
                      <a:ext cx="5509895" cy="3015615"/>
                    </a:xfrm>
                    <a:prstGeom prst="rect">
                      <a:avLst/>
                    </a:prstGeom>
                    <a:noFill/>
                    <a:ln>
                      <a:noFill/>
                    </a:ln>
                  </pic:spPr>
                </pic:pic>
              </a:graphicData>
            </a:graphic>
          </wp:inline>
        </w:drawing>
      </w:r>
    </w:p>
    <w:p w14:paraId="1B039522">
      <w:pPr>
        <w:pStyle w:val="115"/>
        <w:spacing w:before="120" w:after="120"/>
        <w:rPr>
          <w:rFonts w:ascii="Times New Roman"/>
        </w:rPr>
      </w:pPr>
      <w:r>
        <w:rPr>
          <w:rFonts w:ascii="Times New Roman"/>
        </w:rPr>
        <w:t>光谱模组放置示意图</w:t>
      </w:r>
    </w:p>
    <w:p w14:paraId="737D07E9">
      <w:pPr>
        <w:pStyle w:val="57"/>
        <w:ind w:firstLine="420"/>
      </w:pPr>
      <w:r>
        <w:t>设备本身具备IPX6防水等级，但考虑到设备的稳定运行和后期维护，在架设设备时应当将设备架设到室内，通过延长软硬管实现水样的采集。</w:t>
      </w:r>
    </w:p>
    <w:p w14:paraId="1EA573F0">
      <w:pPr>
        <w:pStyle w:val="57"/>
        <w:ind w:firstLine="420"/>
      </w:pPr>
      <w:r>
        <w:t>（1）设备利用液体自身重力排水，因此排水管整体高度不能高于设备底部。</w:t>
      </w:r>
    </w:p>
    <w:p w14:paraId="4C5D8AD7">
      <w:pPr>
        <w:pStyle w:val="57"/>
        <w:ind w:firstLine="420"/>
      </w:pPr>
      <w:r>
        <w:t>（2）软管管路套接的地方一律采用带有密封节的管件进行套接；软管管路与硬管相接的地方需用细铁丝扎紧或用金属箍夹住。</w:t>
      </w:r>
    </w:p>
    <w:p w14:paraId="3BA42CFA">
      <w:pPr>
        <w:pStyle w:val="57"/>
        <w:ind w:firstLine="420"/>
      </w:pPr>
      <w:r>
        <w:t>（3）架设设备距地面30 cm，防止设备环境积水对设备底部进行侵蚀。</w:t>
      </w:r>
    </w:p>
    <w:p w14:paraId="245E489D">
      <w:pPr>
        <w:pStyle w:val="57"/>
        <w:ind w:firstLine="420"/>
      </w:pPr>
      <w:r>
        <w:t>（4）对进水端进行杂质异物过滤装配，防止设备抽入直径较大异物和颗粒堵塞抽水泵。</w:t>
      </w:r>
    </w:p>
    <w:p w14:paraId="5014880D">
      <w:pPr>
        <w:pStyle w:val="57"/>
        <w:ind w:firstLine="420"/>
      </w:pPr>
      <w:r>
        <w:t>（5）在通电前检查内部电子器件是否有潮湿、电线接触点是否有生锈，检测接地电阻值，其值应不大于4 Ω，接地装置应当符合JGJ 46的要求。</w:t>
      </w:r>
    </w:p>
    <w:p w14:paraId="0C595992">
      <w:pPr>
        <w:pStyle w:val="57"/>
        <w:ind w:firstLine="420"/>
      </w:pPr>
      <w:r>
        <w:t>（6）保证环境温度25±5 ℃，相对湿度保持在80% RH以下。</w:t>
      </w:r>
    </w:p>
    <w:bookmarkEnd w:id="23"/>
    <w:p w14:paraId="211AD7F4">
      <w:pPr>
        <w:pStyle w:val="57"/>
        <w:ind w:firstLine="0" w:firstLineChars="0"/>
        <w:jc w:val="center"/>
        <w:rPr>
          <w:rFonts w:hint="eastAsia" w:eastAsia="宋体"/>
          <w:lang w:eastAsia="zh-CN"/>
        </w:rPr>
      </w:pPr>
      <w:bookmarkStart w:id="76" w:name="BookMark8"/>
      <w:r>
        <w:rPr>
          <w:rFonts w:hint="eastAsia" w:eastAsia="宋体"/>
          <w:lang w:eastAsia="zh-CN"/>
        </w:rPr>
        <w:drawing>
          <wp:inline distT="0" distB="0" distL="114300" distR="114300">
            <wp:extent cx="1485900" cy="317500"/>
            <wp:effectExtent l="0" t="0" r="7620" b="2540"/>
            <wp:docPr id="7" name="图片 7" descr="1"/>
            <wp:cNvGraphicFramePr/>
            <a:graphic xmlns:a="http://schemas.openxmlformats.org/drawingml/2006/main">
              <a:graphicData uri="http://schemas.openxmlformats.org/drawingml/2006/picture">
                <pic:pic xmlns:pic="http://schemas.openxmlformats.org/drawingml/2006/picture">
                  <pic:nvPicPr>
                    <pic:cNvPr id="7" name="图片 7" descr="1"/>
                    <pic:cNvPicPr/>
                  </pic:nvPicPr>
                  <pic:blipFill>
                    <a:blip r:embed="rId38"/>
                    <a:stretch>
                      <a:fillRect/>
                    </a:stretch>
                  </pic:blipFill>
                  <pic:spPr>
                    <a:xfrm>
                      <a:off x="0" y="0"/>
                      <a:ext cx="1485900" cy="317500"/>
                    </a:xfrm>
                    <a:prstGeom prst="rect">
                      <a:avLst/>
                    </a:prstGeom>
                  </pic:spPr>
                </pic:pic>
              </a:graphicData>
            </a:graphic>
          </wp:inline>
        </w:drawing>
      </w:r>
      <w:bookmarkEnd w:id="76"/>
    </w:p>
    <w:sectPr>
      <w:headerReference r:id="rId17" w:type="default"/>
      <w:footerReference r:id="rId19" w:type="default"/>
      <w:headerReference r:id="rId18" w:type="even"/>
      <w:footerReference r:id="rId20" w:type="even"/>
      <w:pgSz w:w="11906" w:h="16838"/>
      <w:pgMar w:top="1928" w:right="1134" w:bottom="1134" w:left="1134" w:header="1418" w:footer="1134" w:gutter="284"/>
      <w:pgBorders>
        <w:top w:val="none" w:sz="0" w:space="0"/>
        <w:left w:val="none" w:sz="0" w:space="0"/>
        <w:bottom w:val="none" w:sz="0" w:space="0"/>
        <w:right w:val="none" w:sz="0" w:space="0"/>
      </w:pgBorders>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684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4B4B8">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6874">
    <w:pPr>
      <w:pStyle w:val="53"/>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5706">
    <w:pPr>
      <w:pStyle w:val="52"/>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EF38">
    <w:pPr>
      <w:pStyle w:val="53"/>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7693">
    <w:pPr>
      <w:pStyle w:val="52"/>
    </w:pPr>
    <w:r>
      <w:fldChar w:fldCharType="begin"/>
    </w:r>
    <w:r>
      <w:instrText xml:space="preserve"> PAGE   \* MERGEFORMAT \* MERGEFORMAT </w:instrText>
    </w:r>
    <w:r>
      <w:fldChar w:fldCharType="separate"/>
    </w:r>
    <w: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C851">
    <w:pPr>
      <w:pStyle w:val="53"/>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1242">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7FD4">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6CC7D">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7AD6">
    <w:pPr>
      <w:pStyle w:val="62"/>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40D39">
    <w:pPr>
      <w:pStyle w:val="63"/>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228A">
    <w:pPr>
      <w:pStyle w:val="62"/>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A1C0C">
    <w:pPr>
      <w:pStyle w:val="63"/>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97FB2">
    <w:pPr>
      <w:pStyle w:val="62"/>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A30B">
    <w:pPr>
      <w:pStyle w:val="63"/>
      <w:rPr>
        <w:rFonts w:hint="eastAsia"/>
      </w:rPr>
    </w:pPr>
    <w:r>
      <w:fldChar w:fldCharType="begin"/>
    </w:r>
    <w:r>
      <w:instrText xml:space="preserve"> STYLEREF  标准文件_文件编号 \* MERGEFORMAT </w:instrText>
    </w:r>
    <w:r>
      <w:fldChar w:fldCharType="separate"/>
    </w:r>
    <w:r>
      <w:t>T/CQSES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25D1C"/>
    <w:rsid w:val="0000040A"/>
    <w:rsid w:val="00000A94"/>
    <w:rsid w:val="00001972"/>
    <w:rsid w:val="00001D9A"/>
    <w:rsid w:val="00002D44"/>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94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DB1"/>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719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470"/>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07BD8"/>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108"/>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49A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39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032"/>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828"/>
    <w:rsid w:val="00E11A85"/>
    <w:rsid w:val="00E12495"/>
    <w:rsid w:val="00E15CCD"/>
    <w:rsid w:val="00E202EF"/>
    <w:rsid w:val="00E210B5"/>
    <w:rsid w:val="00E2552F"/>
    <w:rsid w:val="00E3137A"/>
    <w:rsid w:val="00E32CCF"/>
    <w:rsid w:val="00E34A98"/>
    <w:rsid w:val="00E35D1E"/>
    <w:rsid w:val="00E364F9"/>
    <w:rsid w:val="00E365FA"/>
    <w:rsid w:val="00E36789"/>
    <w:rsid w:val="00E4116E"/>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618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E161C5B"/>
    <w:rsid w:val="13725D1C"/>
    <w:rsid w:val="1A7719B3"/>
    <w:rsid w:val="3A4C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2">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rPr>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3"/>
    <w:qFormat/>
    <w:uiPriority w:val="0"/>
    <w:rPr>
      <w:b/>
      <w:bCs/>
      <w:kern w:val="44"/>
      <w:sz w:val="44"/>
      <w:szCs w:val="44"/>
    </w:rPr>
  </w:style>
  <w:style w:type="character" w:customStyle="1" w:styleId="36">
    <w:name w:val="标题 2 字符"/>
    <w:link w:val="4"/>
    <w:qFormat/>
    <w:uiPriority w:val="0"/>
    <w:rPr>
      <w:rFonts w:ascii="Arial" w:hAnsi="Arial" w:eastAsia="黑体"/>
      <w:b/>
      <w:bCs/>
      <w:kern w:val="2"/>
      <w:sz w:val="32"/>
      <w:szCs w:val="32"/>
    </w:rPr>
  </w:style>
  <w:style w:type="character" w:customStyle="1" w:styleId="37">
    <w:name w:val="标题 3 字符"/>
    <w:link w:val="5"/>
    <w:qFormat/>
    <w:uiPriority w:val="0"/>
    <w:rPr>
      <w:b/>
      <w:bCs/>
      <w:kern w:val="2"/>
      <w:sz w:val="32"/>
      <w:szCs w:val="32"/>
    </w:rPr>
  </w:style>
  <w:style w:type="character" w:customStyle="1" w:styleId="38">
    <w:name w:val="标题 4 字符"/>
    <w:link w:val="2"/>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Times New Roman"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style>
  <w:style w:type="paragraph" w:customStyle="1" w:styleId="190">
    <w:name w:val="标准文件_一级项2"/>
    <w:basedOn w:val="57"/>
    <w:qFormat/>
    <w:uiPriority w:val="0"/>
    <w:pPr>
      <w:numPr>
        <w:ilvl w:val="0"/>
        <w:numId w:val="31"/>
      </w:numPr>
      <w:spacing w:line="300" w:lineRule="exact"/>
      <w:ind w:firstLineChars="0"/>
    </w:p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文本1"/>
    <w:basedOn w:val="1"/>
    <w:qFormat/>
    <w:uiPriority w:val="0"/>
    <w:pPr>
      <w:spacing w:line="360" w:lineRule="auto"/>
      <w:ind w:firstLine="420" w:firstLineChars="200"/>
    </w:pPr>
    <w:rPr>
      <w:rFonts w:ascii="宋体" w:hAnsi="宋体"/>
      <w:kern w:val="0"/>
      <w:lang w:eastAsia="en-US"/>
    </w:rPr>
  </w:style>
  <w:style w:type="paragraph" w:customStyle="1" w:styleId="232">
    <w:name w:val="正文公式编号制表符"/>
    <w:basedOn w:val="233"/>
    <w:next w:val="233"/>
    <w:qFormat/>
    <w:uiPriority w:val="0"/>
    <w:pPr>
      <w:tabs>
        <w:tab w:val="center" w:pos="4201"/>
        <w:tab w:val="right" w:leader="dot" w:pos="9298"/>
      </w:tabs>
      <w:ind w:firstLine="0" w:firstLineChars="0"/>
    </w:p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页眉1"/>
    <w:basedOn w:val="1"/>
    <w:qFormat/>
    <w:uiPriority w:val="0"/>
    <w:pPr>
      <w:pBdr>
        <w:bottom w:val="single" w:color="000000" w:sz="6" w:space="1"/>
      </w:pBdr>
      <w:tabs>
        <w:tab w:val="center" w:pos="4153"/>
        <w:tab w:val="right" w:pos="8306"/>
      </w:tabs>
      <w:snapToGrid w:val="0"/>
      <w:jc w:val="center"/>
    </w:pPr>
    <w:rPr>
      <w:kern w:val="0"/>
      <w:sz w:val="18"/>
      <w:szCs w:val="20"/>
    </w:rPr>
  </w:style>
  <w:style w:type="paragraph" w:customStyle="1" w:styleId="235">
    <w:name w:val="页脚1"/>
    <w:basedOn w:val="1"/>
    <w:qFormat/>
    <w:uiPriority w:val="0"/>
    <w:pPr>
      <w:tabs>
        <w:tab w:val="center" w:pos="4153"/>
        <w:tab w:val="right" w:pos="8306"/>
      </w:tabs>
      <w:snapToGrid w:val="0"/>
      <w:jc w:val="left"/>
    </w:pPr>
    <w:rPr>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glossaryDocument" Target="glossary/document.xml"/><Relationship Id="rId43" Type="http://schemas.openxmlformats.org/officeDocument/2006/relationships/fontTable" Target="fontTable.xml"/><Relationship Id="rId42" Type="http://schemas.openxmlformats.org/officeDocument/2006/relationships/customXml" Target="../customXml/item3.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endnotes" Target="endnotes.xml"/><Relationship Id="rId39" Type="http://schemas.openxmlformats.org/officeDocument/2006/relationships/customXml" Target="../customXml/item1.xml"/><Relationship Id="rId38" Type="http://schemas.openxmlformats.org/officeDocument/2006/relationships/image" Target="media/image14.jpeg"/><Relationship Id="rId37" Type="http://schemas.openxmlformats.org/officeDocument/2006/relationships/image" Target="media/image13.png"/><Relationship Id="rId36" Type="http://schemas.openxmlformats.org/officeDocument/2006/relationships/image" Target="media/image12.wmf"/><Relationship Id="rId35" Type="http://schemas.openxmlformats.org/officeDocument/2006/relationships/oleObject" Target="embeddings/oleObject3.bin"/><Relationship Id="rId34" Type="http://schemas.openxmlformats.org/officeDocument/2006/relationships/image" Target="media/image11.wmf"/><Relationship Id="rId33" Type="http://schemas.openxmlformats.org/officeDocument/2006/relationships/oleObject" Target="embeddings/oleObject2.bin"/><Relationship Id="rId32" Type="http://schemas.openxmlformats.org/officeDocument/2006/relationships/image" Target="media/image10.wmf"/><Relationship Id="rId31" Type="http://schemas.openxmlformats.org/officeDocument/2006/relationships/image" Target="media/image9.wmf"/><Relationship Id="rId30" Type="http://schemas.openxmlformats.org/officeDocument/2006/relationships/image" Target="media/image8.wmf"/><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1.bin"/><Relationship Id="rId27" Type="http://schemas.openxmlformats.org/officeDocument/2006/relationships/image" Target="media/image6.wmf"/><Relationship Id="rId26" Type="http://schemas.openxmlformats.org/officeDocument/2006/relationships/image" Target="media/image5.wmf"/><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B3BEDB4F2724F9D81F4444A5CCE266D"/>
        <w:style w:val=""/>
        <w:category>
          <w:name w:val="常规"/>
          <w:gallery w:val="placeholder"/>
        </w:category>
        <w:types>
          <w:type w:val="bbPlcHdr"/>
        </w:types>
        <w:behaviors>
          <w:behavior w:val="content"/>
        </w:behaviors>
        <w:description w:val=""/>
        <w:guid w:val="{9A791DFB-56F6-4B85-997E-8EF3CEE1C2DA}"/>
      </w:docPartPr>
      <w:docPartBody>
        <w:p w14:paraId="2B13878C">
          <w:pPr>
            <w:pStyle w:val="5"/>
            <w:rPr>
              <w:rFonts w:hint="eastAsia"/>
            </w:rPr>
          </w:pPr>
          <w:r>
            <w:rPr>
              <w:rStyle w:val="4"/>
              <w:rFonts w:hint="eastAsia"/>
            </w:rPr>
            <w:t>单击或点击此处输入文字。</w:t>
          </w:r>
        </w:p>
      </w:docPartBody>
    </w:docPart>
    <w:docPart>
      <w:docPartPr>
        <w:name w:val="78956B8278AF41489B4C226600D2E8C4"/>
        <w:style w:val=""/>
        <w:category>
          <w:name w:val="常规"/>
          <w:gallery w:val="placeholder"/>
        </w:category>
        <w:types>
          <w:type w:val="bbPlcHdr"/>
        </w:types>
        <w:behaviors>
          <w:behavior w:val="content"/>
        </w:behaviors>
        <w:description w:val=""/>
        <w:guid w:val="{35D7B9DB-82B3-43EC-9478-2F4253E62990}"/>
      </w:docPartPr>
      <w:docPartBody>
        <w:p w14:paraId="4E2E18A1">
          <w:pPr>
            <w:pStyle w:val="6"/>
            <w:rPr>
              <w:rFonts w:hint="eastAsia"/>
            </w:rPr>
          </w:pPr>
          <w:r>
            <w:rPr>
              <w:rStyle w:val="4"/>
              <w:rFonts w:hint="eastAsia"/>
            </w:rPr>
            <w:t>选择一项。</w:t>
          </w:r>
        </w:p>
      </w:docPartBody>
    </w:docPart>
    <w:docPart>
      <w:docPartPr>
        <w:name w:val="DD487E154D8B46B1811108614A11313A"/>
        <w:style w:val=""/>
        <w:category>
          <w:name w:val="常规"/>
          <w:gallery w:val="placeholder"/>
        </w:category>
        <w:types>
          <w:type w:val="bbPlcHdr"/>
        </w:types>
        <w:behaviors>
          <w:behavior w:val="content"/>
        </w:behaviors>
        <w:description w:val=""/>
        <w:guid w:val="{BDA84726-025B-4CC9-AFA0-B8C5A34685AA}"/>
      </w:docPartPr>
      <w:docPartBody>
        <w:p w14:paraId="59615EA9">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EA"/>
    <w:rsid w:val="000F76CE"/>
    <w:rsid w:val="00295DA5"/>
    <w:rsid w:val="003A4D71"/>
    <w:rsid w:val="005D70EA"/>
    <w:rsid w:val="006E28E0"/>
    <w:rsid w:val="00A64392"/>
    <w:rsid w:val="00E4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B3BEDB4F2724F9D81F4444A5CCE266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8956B8278AF41489B4C226600D2E8C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DD487E154D8B46B1811108614A11313A"/>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945dcaf1-8855-4729-a988-e900043e7372</errorID>
      <errorWord>&gt;</errorWord>
      <group>L1_Punc</group>
      <groupName>标点问题</groupName>
      <ability>L2_Punc_CN</ability>
      <abilityName/>
      <candidateList/>
      <explain/>
      <paraID>6F6512E7</paraID>
      <start>0</start>
      <end>1</end>
      <status>unmodified</status>
      <modifiedWord/>
      <trackRevisions>false</trackRevisions>
    </reviewItem>
    <reviewItem>
      <errorID>3c0ca7a9-40a9-4a21-a584-0181ca8e968f</errorID>
      <errorWord>&gt;</errorWord>
      <group>L1_Punc</group>
      <groupName>标点问题</groupName>
      <ability>L2_Punc_CN</ability>
      <abilityName/>
      <candidateList/>
      <explain/>
      <paraID> 712CAD8</paraID>
      <start>0</start>
      <end>1</end>
      <status>unmodified</status>
      <modifiedWord/>
      <trackRevisions>false</trackRevisions>
    </reviewItem>
    <reviewItem>
      <errorID>099312e5-0c46-4c6a-9863-4e3a0b03d3bc</errorID>
      <errorWord>&gt;</errorWord>
      <group>L1_Punc</group>
      <groupName>标点问题</groupName>
      <ability>L2_Punc_CN</ability>
      <abilityName/>
      <candidateList/>
      <explain/>
      <paraID>4DBA8249</paraID>
      <start>0</start>
      <end>1</end>
      <status>unmodified</status>
      <modifiedWord/>
      <trackRevisions>false</trackRevisions>
    </reviewItem>
    <reviewItem>
      <errorID>8fd76888-10b8-49a0-983d-fa49838654f3</errorID>
      <errorWord>)</errorWord>
      <group>L1_Punc</group>
      <groupName>标点问题</groupName>
      <ability>L2_Punc_CN</ability>
      <abilityName/>
      <candidateList/>
      <explain>此处标点可能未正确匹配，请检查句子中是否存在标点冗余、缺失或使用错误的情况。</explain>
      <paraID> 326F83D</paraID>
      <start>25</start>
      <end>26</end>
      <status>unmodified</status>
      <modifiedWord/>
      <trackRevisions>false</trackRevisions>
    </reviewItem>
    <reviewItem>
      <errorID>0124ca18-4ace-4278-b597-d7a8ff132151</errorID>
      <errorWord>与</errorWord>
      <group>L1_Word</group>
      <groupName>字词问题</groupName>
      <ability>L2_Typo</ability>
      <abilityName>字词错误</abilityName>
      <candidateList>
        <item>向</item>
      </candidateList>
      <explain>存在字形相近字词的误用。</explain>
      <paraID> 19A6962</paraID>
      <start>48</start>
      <end>49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354269-4887-4aad-89d6-e7d9d7e09955}">
  <ds:schemaRefs/>
</ds:datastoreItem>
</file>

<file path=customXml/itemProps3.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Pages>11</Pages>
  <Words>2819</Words>
  <Characters>3479</Characters>
  <Lines>178</Lines>
  <Paragraphs>125</Paragraphs>
  <TotalTime>9</TotalTime>
  <ScaleCrop>false</ScaleCrop>
  <LinksUpToDate>false</LinksUpToDate>
  <CharactersWithSpaces>3646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2026-05-21T02:03:00Z</dcterms:created>
  <dc:creator>若不为</dc:creator>
  <cp:lastModifiedBy>若不为</cp:lastModifiedBy>
  <dcterms:modified xsi:type="dcterms:W3CDTF">2026-05-27T06:29:40Z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D04980D1A4C44A5CBF22E76DAB52FF11_11</vt:lpwstr>
  </property>
  <property fmtid="{D5CDD505-2E9C-101B-9397-08002B2CF9AE}" pid="15" name="KSOTemplateDocerSaveRecord">
    <vt:lpwstr>eyJoZGlkIjoiMDBhNzJiNGJkNTE2MmM3ZDRhNmRhN2Q5OGNhNzc0M2EiLCJ1c2VySWQiOiIyMzY4OTc3MTUifQ==</vt:lpwstr>
  </property>
  <property fmtid="{D5CDD505-2E9C-101B-9397-08002B2CF9AE}" pid="16" name="KSOProductBuildVer">
    <vt:lpwstr>2052-12.1.0.26375</vt:lpwstr>
  </property>
  <property fmtid="{D5CDD505-2E9C-101B-9397-08002B2CF9AE}" pid="17" name="DoublePage">
    <vt:lpwstr>true</vt:lpwstr>
  </property>
</Properties>
</file>