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892F">
      <w:pPr>
        <w:jc w:val="center"/>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0865F413">
      <w:pPr>
        <w:jc w:val="center"/>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73F6EB80">
      <w:pPr>
        <w:jc w:val="center"/>
        <w:outlineLvl w:val="9"/>
        <w:rPr>
          <w:rFonts w:hint="eastAsia" w:ascii="方正黑体_GBK" w:hAnsi="方正黑体_GBK" w:eastAsia="方正黑体_GBK" w:cs="方正黑体_GBK"/>
          <w:b w:val="0"/>
          <w:bCs w:val="0"/>
          <w:color w:val="000000" w:themeColor="text1"/>
          <w:sz w:val="44"/>
          <w:szCs w:val="44"/>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44"/>
          <w:szCs w:val="44"/>
          <w:lang w:val="en-US" w:eastAsia="zh-CN"/>
          <w14:textFill>
            <w14:solidFill>
              <w14:schemeClr w14:val="tx1"/>
            </w14:solidFill>
          </w14:textFill>
        </w:rPr>
        <w:t>农村生活污水治理项目方案编制指南</w:t>
      </w:r>
    </w:p>
    <w:p w14:paraId="38CB20A7">
      <w:pPr>
        <w:jc w:val="center"/>
        <w:outlineLvl w:val="9"/>
        <w:rPr>
          <w:rFonts w:hint="eastAsia" w:ascii="方正黑体_GBK" w:hAnsi="方正黑体_GBK" w:eastAsia="方正黑体_GBK" w:cs="方正黑体_GBK"/>
          <w:b w:val="0"/>
          <w:bCs w:val="0"/>
          <w:color w:val="000000" w:themeColor="text1"/>
          <w:sz w:val="44"/>
          <w:szCs w:val="44"/>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44"/>
          <w:szCs w:val="44"/>
          <w:lang w:val="en-US" w:eastAsia="zh-CN"/>
          <w14:textFill>
            <w14:solidFill>
              <w14:schemeClr w14:val="tx1"/>
            </w14:solidFill>
          </w14:textFill>
        </w:rPr>
        <w:t>（编制说明）</w:t>
      </w:r>
    </w:p>
    <w:p w14:paraId="2C493490">
      <w:pPr>
        <w:jc w:val="center"/>
        <w:outlineLvl w:val="9"/>
        <w:rPr>
          <w:rFonts w:hint="default" w:ascii="方正楷体简体" w:hAnsi="方正楷体简体" w:eastAsia="方正楷体简体" w:cs="方正楷体简体"/>
          <w:b w:val="0"/>
          <w:bCs w:val="0"/>
          <w:color w:val="000000" w:themeColor="text1"/>
          <w:sz w:val="44"/>
          <w:szCs w:val="44"/>
          <w:lang w:val="en-US" w:eastAsia="zh-CN"/>
          <w14:textFill>
            <w14:solidFill>
              <w14:schemeClr w14:val="tx1"/>
            </w14:solidFill>
          </w14:textFill>
        </w:rPr>
      </w:pPr>
      <w:r>
        <w:rPr>
          <w:rFonts w:hint="eastAsia" w:ascii="方正楷体简体" w:hAnsi="方正楷体简体" w:eastAsia="方正楷体简体" w:cs="方正楷体简体"/>
          <w:b w:val="0"/>
          <w:bCs w:val="0"/>
          <w:color w:val="000000" w:themeColor="text1"/>
          <w:sz w:val="44"/>
          <w:szCs w:val="44"/>
          <w:lang w:val="en-US" w:eastAsia="zh-CN"/>
          <w14:textFill>
            <w14:solidFill>
              <w14:schemeClr w14:val="tx1"/>
            </w14:solidFill>
          </w14:textFill>
        </w:rPr>
        <w:t>（征求意见稿）</w:t>
      </w:r>
    </w:p>
    <w:p w14:paraId="0FD6F459">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2FD66B2E">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48649869">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bookmarkStart w:id="21" w:name="_GoBack"/>
      <w:bookmarkEnd w:id="21"/>
    </w:p>
    <w:p w14:paraId="6B65F19A">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3BDCFCBC">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2BBED240">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4D3F47FF">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0C03EBD0">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3F3F6B39">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424885F6">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5C49E64A">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3F59E757">
      <w:pPr>
        <w:jc w:val="center"/>
        <w:outlineLvl w:val="9"/>
        <w:rPr>
          <w:rFonts w:hint="default" w:ascii="Times New Roman" w:hAnsi="Times New Roman" w:cs="Times New Roman" w:eastAsiaTheme="majorEastAsia"/>
          <w:b/>
          <w:bCs/>
          <w:color w:val="000000" w:themeColor="text1"/>
          <w:sz w:val="44"/>
          <w:szCs w:val="44"/>
          <w:lang w:val="en-US" w:eastAsia="zh-CN"/>
          <w14:textFill>
            <w14:solidFill>
              <w14:schemeClr w14:val="tx1"/>
            </w14:solidFill>
          </w14:textFill>
        </w:rPr>
      </w:pPr>
    </w:p>
    <w:p w14:paraId="49A1E790">
      <w:pPr>
        <w:spacing w:before="156" w:beforeLines="50" w:after="156" w:afterLines="50" w:line="360" w:lineRule="auto"/>
        <w:jc w:val="center"/>
        <w:outlineLvl w:val="9"/>
        <w:rPr>
          <w:rFonts w:hint="default" w:ascii="Times New Roman" w:hAnsi="Times New Roman" w:cs="Times New Roman" w:eastAsiaTheme="minorEastAsia"/>
          <w:sz w:val="32"/>
          <w:szCs w:val="32"/>
        </w:rPr>
      </w:pPr>
      <w:r>
        <w:rPr>
          <w:rFonts w:hint="eastAsia" w:ascii="方正黑体_GBK" w:hAnsi="方正黑体_GBK" w:eastAsia="方正黑体_GBK" w:cs="方正黑体_GBK"/>
          <w:sz w:val="32"/>
          <w:szCs w:val="32"/>
          <w:lang w:val="en-US" w:eastAsia="zh-CN"/>
        </w:rPr>
        <w:t>农村生活污水治理项目方案编制指南</w:t>
      </w:r>
      <w:r>
        <w:rPr>
          <w:rFonts w:hint="eastAsia" w:ascii="方正黑体_GBK" w:hAnsi="方正黑体_GBK" w:eastAsia="方正黑体_GBK" w:cs="方正黑体_GBK"/>
          <w:sz w:val="32"/>
          <w:szCs w:val="32"/>
          <w:lang w:eastAsia="zh-CN"/>
        </w:rPr>
        <w:t>编制组</w:t>
      </w:r>
    </w:p>
    <w:p w14:paraId="0ADD9443">
      <w:pPr>
        <w:spacing w:before="156" w:beforeLines="50" w:after="312" w:afterLines="100" w:line="360" w:lineRule="auto"/>
        <w:jc w:val="center"/>
        <w:outlineLvl w:val="9"/>
        <w:rPr>
          <w:rFonts w:hint="default" w:ascii="Times New Roman" w:hAnsi="Times New Roman" w:cs="Times New Roman" w:eastAsiaTheme="minorEastAsia"/>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方正黑体_GBK" w:cs="Times New Roman"/>
          <w:sz w:val="32"/>
          <w:szCs w:val="32"/>
        </w:rPr>
        <w:t>202</w:t>
      </w:r>
      <w:r>
        <w:rPr>
          <w:rFonts w:hint="default" w:ascii="Times New Roman" w:hAnsi="Times New Roman" w:eastAsia="方正黑体_GBK" w:cs="Times New Roman"/>
          <w:sz w:val="32"/>
          <w:szCs w:val="32"/>
          <w:lang w:val="en-US" w:eastAsia="zh-CN"/>
        </w:rPr>
        <w:t>5</w:t>
      </w:r>
      <w:r>
        <w:rPr>
          <w:rFonts w:hint="default" w:ascii="Times New Roman" w:hAnsi="Times New Roman" w:eastAsia="方正黑体_GBK" w:cs="Times New Roman"/>
          <w:sz w:val="32"/>
          <w:szCs w:val="32"/>
        </w:rPr>
        <w:t>年</w:t>
      </w:r>
      <w:r>
        <w:rPr>
          <w:rFonts w:hint="default" w:ascii="Times New Roman" w:hAnsi="Times New Roman" w:eastAsia="方正黑体_GBK" w:cs="Times New Roman"/>
          <w:sz w:val="32"/>
          <w:szCs w:val="32"/>
          <w:lang w:val="en-US" w:eastAsia="zh-CN"/>
        </w:rPr>
        <w:t>3</w:t>
      </w:r>
      <w:r>
        <w:rPr>
          <w:rFonts w:hint="default" w:ascii="Times New Roman" w:hAnsi="Times New Roman" w:eastAsia="方正黑体_GBK" w:cs="Times New Roman"/>
          <w:sz w:val="32"/>
          <w:szCs w:val="32"/>
        </w:rPr>
        <w:t>月</w:t>
      </w:r>
    </w:p>
    <w:p w14:paraId="7C0B32F4">
      <w:pPr>
        <w:bidi w:val="0"/>
        <w:spacing w:line="360" w:lineRule="auto"/>
        <w:outlineLvl w:val="9"/>
        <w:rPr>
          <w:rFonts w:hint="default" w:ascii="Times New Roman" w:hAnsi="Times New Roman" w:eastAsia="方正黑体_GBK" w:cs="Times New Roman"/>
          <w:sz w:val="32"/>
          <w:szCs w:val="32"/>
          <w:lang w:val="en-US" w:eastAsia="zh-CN"/>
        </w:rPr>
      </w:pPr>
    </w:p>
    <w:sdt>
      <w:sdtPr>
        <w:rPr>
          <w:rFonts w:ascii="宋体" w:hAnsi="宋体" w:eastAsia="宋体" w:cstheme="minorBidi"/>
          <w:kern w:val="2"/>
          <w:sz w:val="21"/>
          <w:szCs w:val="24"/>
          <w:lang w:val="en-US" w:eastAsia="zh-CN" w:bidi="ar-SA"/>
        </w:rPr>
        <w:id w:val="147471926"/>
        <w15:color w:val="DBDBDB"/>
        <w:docPartObj>
          <w:docPartGallery w:val="Table of Contents"/>
          <w:docPartUnique/>
        </w:docPartObj>
      </w:sdtPr>
      <w:sdtEndPr>
        <w:rPr>
          <w:rFonts w:hint="default" w:ascii="Times New Roman" w:hAnsi="Times New Roman" w:eastAsia="方正黑体_GBK" w:cs="Times New Roman"/>
          <w:kern w:val="2"/>
          <w:sz w:val="21"/>
          <w:szCs w:val="32"/>
          <w:lang w:val="en-US" w:eastAsia="zh-CN" w:bidi="ar-SA"/>
        </w:rPr>
      </w:sdtEndPr>
      <w:sdtContent>
        <w:p w14:paraId="676F6AD9">
          <w:pPr>
            <w:spacing w:before="0" w:beforeLines="0" w:after="0" w:afterLines="0" w:line="240" w:lineRule="auto"/>
            <w:ind w:left="0" w:leftChars="0" w:right="0" w:rightChars="0" w:firstLine="0" w:firstLineChars="0"/>
            <w:jc w:val="center"/>
            <w:outlineLvl w:val="9"/>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rPr>
            <w:t>录</w:t>
          </w:r>
        </w:p>
        <w:p w14:paraId="4BBC5124">
          <w:pPr>
            <w:pStyle w:val="8"/>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TOC \o "1-3" \h \u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_Toc17792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t>1.编制背景</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_Toc17792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1C9240A1">
          <w:pPr>
            <w:pStyle w:val="8"/>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_Toc4241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t>2.必要性和可行性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_Toc4241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6755A670">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_Toc30610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2.1必要性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_Toc30610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2</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4E315C66">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_Toc24167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2.2可行性</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_Toc24167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3</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4B6E8C3E">
          <w:pPr>
            <w:pStyle w:val="8"/>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_Toc14606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t>3.编制原则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_Toc14606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3D4B7017">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_Toc5017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3.1 符合性原则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_Toc5017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5F350D58">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_Toc15527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3.2 适宜性原则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_Toc15527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5FE5E354">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_Toc28382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3.3 可行性原则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_Toc28382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4</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2F45E8F1">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_Toc2499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3.4 规范性原则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_Toc2499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50A899D9">
          <w:pPr>
            <w:pStyle w:val="8"/>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_Toc14188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t>4.编制过程</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_Toc14188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5</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12D0DFBC">
          <w:pPr>
            <w:pStyle w:val="8"/>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_Toc14999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t>5.编制依据</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_Toc14999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7</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58C34543">
          <w:pPr>
            <w:pStyle w:val="8"/>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_Toc14096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黑体_GBK" w:cs="Times New Roman"/>
              <w:sz w:val="30"/>
              <w:szCs w:val="30"/>
              <w:lang w:val="en-US" w:eastAsia="zh-CN"/>
            </w:rPr>
            <w:t>6 主要内容</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_Toc14096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3BD7305C">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_Toc28779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6.1 总体框架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_Toc28779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5C3179D4">
          <w:pPr>
            <w:pStyle w:val="9"/>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_Toc13813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楷体简体" w:cs="Times New Roman"/>
              <w:sz w:val="30"/>
              <w:szCs w:val="30"/>
              <w:lang w:val="en-US" w:eastAsia="zh-CN"/>
            </w:rPr>
            <w:t>6.2 具体内容</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_Toc13813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00BFF981">
          <w:pPr>
            <w:pStyle w:val="5"/>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_Toc22196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6.2.1 适用范围</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_Toc22196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7E79CFAD">
          <w:pPr>
            <w:pStyle w:val="5"/>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_Toc3539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6.2.2 一般规定</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_Toc3539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09528890">
          <w:pPr>
            <w:pStyle w:val="5"/>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_Toc5143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6.2.3 编制原则</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_Toc5143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8</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5CD41E94">
          <w:pPr>
            <w:pStyle w:val="5"/>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_Toc22358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6.2.4 编制要点</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_Toc22358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9</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739BCA46">
          <w:pPr>
            <w:pStyle w:val="5"/>
            <w:tabs>
              <w:tab w:val="right" w:leader="dot" w:pos="8306"/>
            </w:tabs>
            <w:outlineLvl w:val="9"/>
            <w:rPr>
              <w:rFonts w:hint="default" w:ascii="Times New Roman" w:hAnsi="Times New Roman" w:cs="Times New Roman"/>
              <w:sz w:val="30"/>
              <w:szCs w:val="30"/>
            </w:rPr>
          </w:pPr>
          <w:r>
            <w:rPr>
              <w:rFonts w:hint="default" w:ascii="Times New Roman" w:hAnsi="Times New Roman" w:eastAsia="方正黑体_GBK" w:cs="Times New Roman"/>
              <w:sz w:val="30"/>
              <w:szCs w:val="30"/>
              <w:lang w:val="en-US" w:eastAsia="zh-CN"/>
            </w:rPr>
            <w:fldChar w:fldCharType="begin"/>
          </w:r>
          <w:r>
            <w:rPr>
              <w:rFonts w:hint="default" w:ascii="Times New Roman" w:hAnsi="Times New Roman" w:eastAsia="方正黑体_GBK" w:cs="Times New Roman"/>
              <w:sz w:val="30"/>
              <w:szCs w:val="30"/>
              <w:lang w:val="en-US" w:eastAsia="zh-CN"/>
            </w:rPr>
            <w:instrText xml:space="preserve"> HYPERLINK \l _Toc16550 </w:instrText>
          </w:r>
          <w:r>
            <w:rPr>
              <w:rFonts w:hint="default" w:ascii="Times New Roman" w:hAnsi="Times New Roman" w:eastAsia="方正黑体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6.2.5 附件</w:t>
          </w:r>
          <w:r>
            <w:rPr>
              <w:rFonts w:hint="default" w:ascii="Times New Roman" w:hAnsi="Times New Roman" w:cs="Times New Roman"/>
              <w:sz w:val="30"/>
              <w:szCs w:val="30"/>
            </w:rPr>
            <w:tab/>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PAGEREF _Toc16550 \h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10</w:t>
          </w:r>
          <w:r>
            <w:rPr>
              <w:rFonts w:hint="default" w:ascii="Times New Roman" w:hAnsi="Times New Roman" w:cs="Times New Roman"/>
              <w:sz w:val="30"/>
              <w:szCs w:val="30"/>
            </w:rPr>
            <w:fldChar w:fldCharType="end"/>
          </w:r>
          <w:r>
            <w:rPr>
              <w:rFonts w:hint="default" w:ascii="Times New Roman" w:hAnsi="Times New Roman" w:eastAsia="方正黑体_GBK" w:cs="Times New Roman"/>
              <w:sz w:val="30"/>
              <w:szCs w:val="30"/>
              <w:lang w:val="en-US" w:eastAsia="zh-CN"/>
            </w:rPr>
            <w:fldChar w:fldCharType="end"/>
          </w:r>
        </w:p>
        <w:p w14:paraId="7401ADBA">
          <w:pPr>
            <w:bidi w:val="0"/>
            <w:spacing w:line="360" w:lineRule="auto"/>
            <w:outlineLvl w:val="9"/>
            <w:rPr>
              <w:rFonts w:hint="default" w:ascii="Times New Roman" w:hAnsi="Times New Roman" w:eastAsia="方正黑体_GBK" w:cs="Times New Roman"/>
              <w:kern w:val="2"/>
              <w:sz w:val="21"/>
              <w:szCs w:val="32"/>
              <w:lang w:val="en-US" w:eastAsia="zh-CN" w:bidi="ar-SA"/>
            </w:rPr>
          </w:pPr>
          <w:r>
            <w:rPr>
              <w:rFonts w:hint="default" w:ascii="Times New Roman" w:hAnsi="Times New Roman" w:eastAsia="方正黑体_GBK" w:cs="Times New Roman"/>
              <w:sz w:val="30"/>
              <w:szCs w:val="30"/>
              <w:lang w:val="en-US" w:eastAsia="zh-CN"/>
            </w:rPr>
            <w:fldChar w:fldCharType="end"/>
          </w:r>
        </w:p>
      </w:sdtContent>
    </w:sdt>
    <w:p w14:paraId="227F0515">
      <w:pPr>
        <w:bidi w:val="0"/>
        <w:spacing w:line="360" w:lineRule="auto"/>
        <w:outlineLvl w:val="9"/>
        <w:rPr>
          <w:rFonts w:hint="default" w:ascii="Times New Roman" w:hAnsi="Times New Roman" w:eastAsia="方正黑体_GBK" w:cs="Times New Roman"/>
          <w:kern w:val="2"/>
          <w:sz w:val="21"/>
          <w:szCs w:val="32"/>
          <w:lang w:val="en-US" w:eastAsia="zh-CN" w:bidi="ar-SA"/>
        </w:rPr>
        <w:sectPr>
          <w:pgSz w:w="11906" w:h="16838"/>
          <w:pgMar w:top="1440" w:right="1800" w:bottom="1440" w:left="1800" w:header="851" w:footer="992" w:gutter="0"/>
          <w:cols w:space="425" w:num="1"/>
          <w:docGrid w:type="lines" w:linePitch="312" w:charSpace="0"/>
        </w:sectPr>
      </w:pPr>
    </w:p>
    <w:p w14:paraId="6E3F9A1B">
      <w:pPr>
        <w:bidi w:val="0"/>
        <w:spacing w:line="360" w:lineRule="auto"/>
        <w:outlineLvl w:val="0"/>
        <w:rPr>
          <w:rFonts w:hint="default" w:ascii="Times New Roman" w:hAnsi="Times New Roman" w:eastAsia="方正黑体_GBK" w:cs="Times New Roman"/>
          <w:sz w:val="32"/>
          <w:szCs w:val="32"/>
          <w:lang w:val="en-US" w:eastAsia="zh-CN"/>
        </w:rPr>
      </w:pPr>
      <w:bookmarkStart w:id="0" w:name="_Toc17792"/>
      <w:r>
        <w:rPr>
          <w:rFonts w:hint="default" w:ascii="Times New Roman" w:hAnsi="Times New Roman" w:eastAsia="方正黑体_GBK" w:cs="Times New Roman"/>
          <w:sz w:val="32"/>
          <w:szCs w:val="32"/>
          <w:lang w:val="en-US" w:eastAsia="zh-CN"/>
        </w:rPr>
        <w:t>1.编制背景</w:t>
      </w:r>
      <w:bookmarkEnd w:id="0"/>
    </w:p>
    <w:p w14:paraId="565E6688">
      <w:pPr>
        <w:spacing w:line="360" w:lineRule="auto"/>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实施乡村振兴战略，是以习近平同志为核心的党中央从党和国家事业全局出发、着眼于“实现两个一百年”奋斗目标、顺应亿万农民对美好生活的向往作出的重大决策，是中国特色社会主义进入新时代做好“三农”工作的总抓手。乡村振兴，要坚持人与自然和谐共生，必须树立和践行绿水青山就是金山银山的理念，像对待生命一样对待生态环境，形成绿色发展方式和生活方式，坚定走生产发展、生活富裕、生态良好的文明发展道路，建设美丽中国，为人民创造良好生产生活环境。随着乡村振兴战略的全面推进和生态文明建设的深化，农村人居环境整治成为建设“美丽乡村”的关键环节。习近平总书记强调，让美丽乡村成为现代化强国的标志、美丽中国的底色。</w:t>
      </w:r>
    </w:p>
    <w:p w14:paraId="3B866EE1">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《生态环境部 农业农村部关于进一步推进农村生活污水治理的指导意见》提出，“农村生活污水治理是农村人居环境整治的重要内容，是实施乡村振兴战略的重要举措”。为持续改善农村人居环境，重庆市市委、市政府作出“2027年农村生活污水治理（管控）率达到100%”决策部署，印发实施《重庆市深化农村生活污水治理（管控）行动方案（2024—2027年）》系统解决农村生活污水污染问题，致力于打造全域巴渝和美乡村。</w:t>
      </w:r>
    </w:p>
    <w:p w14:paraId="0F935C9B">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农村生活污水治理（管控）率已达到70%以上，但对标100%目标仍有约2600个村（全市8885个村）未完成农村生活污水治理，完成生活污水治理涉及范围广、工作项目多、资金投入大，单纯依靠地方财政实现100%目标压力巨大，急需上级资金予以支持。目前中央生态环境相关资金下达方式以项目法为主，实行项目评审入库制度，对项目必要性、可行性、经济技术性等方面要求趋严，项目方案编制质量是决定能否争取到上级资金的重要因素。</w:t>
      </w:r>
    </w:p>
    <w:p w14:paraId="645A912D">
      <w:pPr>
        <w:bidi w:val="0"/>
        <w:spacing w:line="360" w:lineRule="auto"/>
        <w:outlineLvl w:val="0"/>
        <w:rPr>
          <w:rFonts w:hint="default" w:ascii="Times New Roman" w:hAnsi="Times New Roman" w:eastAsia="方正黑体_GBK" w:cs="Times New Roman"/>
          <w:sz w:val="32"/>
          <w:szCs w:val="32"/>
          <w:lang w:val="en-US" w:eastAsia="zh-CN"/>
        </w:rPr>
      </w:pPr>
      <w:bookmarkStart w:id="1" w:name="_Toc4241"/>
      <w:bookmarkStart w:id="2" w:name="_Toc129709044"/>
      <w:bookmarkStart w:id="3" w:name="_Toc85115980"/>
      <w:r>
        <w:rPr>
          <w:rFonts w:hint="default" w:ascii="Times New Roman" w:hAnsi="Times New Roman" w:eastAsia="方正黑体_GBK" w:cs="Times New Roman"/>
          <w:sz w:val="32"/>
          <w:szCs w:val="32"/>
          <w:lang w:val="en-US" w:eastAsia="zh-CN"/>
        </w:rPr>
        <w:t>2.必要性和可行性</w:t>
      </w:r>
      <w:bookmarkEnd w:id="1"/>
      <w:bookmarkEnd w:id="2"/>
      <w:bookmarkEnd w:id="3"/>
    </w:p>
    <w:p w14:paraId="4E10A435">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4" w:name="_Toc30610"/>
      <w:r>
        <w:rPr>
          <w:rFonts w:hint="default" w:ascii="Times New Roman" w:hAnsi="Times New Roman" w:eastAsia="方正楷体简体" w:cs="Times New Roman"/>
          <w:sz w:val="32"/>
          <w:szCs w:val="32"/>
          <w:lang w:val="en-US" w:eastAsia="zh-CN"/>
        </w:rPr>
        <w:t>2.1必要性</w:t>
      </w:r>
      <w:bookmarkEnd w:id="4"/>
    </w:p>
    <w:p w14:paraId="0CF738E9">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集大城市、大农村、大山区、大库区于一体，农村地区呈现“大分散，小集中”的特点，典型的山地丘陵复杂地形、区域治理水平差异、资金保障不足等问题导致全市8885个行政村（社区）生活污水治理管控水平不一，实现2027年农村生活污水治理（管控）率100%目标存在一定挑战。农村生活污水治理项目作为争取中央、市级专项资金系统解决农村生活污水污染问题的重要途径，目前存在项目编制缺乏统一标准，项目质量参差不齐，导致在争取资金支持项目评审中处于劣势且部分项目技术路线不可行导致后期治理效果不佳。</w:t>
      </w:r>
    </w:p>
    <w:p w14:paraId="1E8DBDDD">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南》的编制基于国家、重庆市资金政策主要支持方向及基本要求，对农村生活污水治理模式论证、技术工艺比选等进行规定，梳理现行有效且涉及农村生活污水治理项目工程投资依据及单价，提出项目建成后运行维护的要求，确保项目科学合理、经济可行，对全市提升农村生活污水治理（管控）水平、改善农村人居环境和美丽乡村建设具有较强的支撑作用。另外，《指南》为技术单位提供编制规范，从而提高项目编制质量，可为项目在资金项目评审入库中提供助力。</w:t>
      </w:r>
    </w:p>
    <w:p w14:paraId="052695E5">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5" w:name="_Toc24167"/>
      <w:r>
        <w:rPr>
          <w:rFonts w:hint="default" w:ascii="Times New Roman" w:hAnsi="Times New Roman" w:eastAsia="方正楷体简体" w:cs="Times New Roman"/>
          <w:sz w:val="32"/>
          <w:szCs w:val="32"/>
          <w:lang w:val="en-US" w:eastAsia="zh-CN"/>
        </w:rPr>
        <w:t>2.2可行性</w:t>
      </w:r>
      <w:bookmarkEnd w:id="5"/>
    </w:p>
    <w:p w14:paraId="3B9960A2">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政策方面，《指南》系统梳理国家、市级有关农村生活污水治理项目编制政策最新要求，按照《中央生态环境资金项目储备库入库指南》《农村环境整治资金管理办法》等文件提出项目编制的基本规定，符合中央、市级农村环境整治资金支持要求，具备政策可行性。</w:t>
      </w:r>
    </w:p>
    <w:p w14:paraId="772508C2">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济方面，《指南》系统梳理国家、重庆市、地方主管部门发布的有关法律、法规、规章、规程，投资估算指标及工程定额，其他费用计算规则、取费依据及费率标准等农村生活污水治理工程投资估算依据，提出污水管网、污水处理设施等参考单价及难度系数取值，具备经济可行性。</w:t>
      </w:r>
    </w:p>
    <w:p w14:paraId="76BFD67E">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技术方面，《指南》系统梳理涉及农村生活污水治理方面的规范性引用文件，根据《农村生活污水资源化利用指南（试行）》《重庆市农村生活污水资源化利用指南（试行）》等指南文件规定项目治理模式论证过程，对污水处理技术工艺比选、生活污水收集系统论证以及项目后期运行维护作出规定，提升项目治理效果。另外，《指南》发布后可用于指导技术单位编制农村生活污水治理项目方案，规范项目设计，也可作为行政管理人员在评审农村生活污水治理类项目的参考。</w:t>
      </w:r>
    </w:p>
    <w:p w14:paraId="32480283">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支撑保障方面，重庆市生态环境科学研究院是重庆市生态环境局直属单位，承担过多项地标、技术汇编、指南的编制工作，积累了丰富的工作经验和技术资料，为本标准的编制奠定了坚实基础。另外，《指南》经费预算20万元，依托重庆市生态环境局委托我院承担的《农村生活污水治理技术支撑》项目，项目总经费为217万元，财政资金实际拨付217万元，可保障指南编制工作顺利开展。</w:t>
      </w:r>
    </w:p>
    <w:p w14:paraId="0017B26D">
      <w:pPr>
        <w:bidi w:val="0"/>
        <w:spacing w:line="360" w:lineRule="auto"/>
        <w:outlineLvl w:val="0"/>
        <w:rPr>
          <w:rFonts w:hint="default" w:ascii="Times New Roman" w:hAnsi="Times New Roman" w:eastAsia="方正黑体_GBK" w:cs="Times New Roman"/>
          <w:sz w:val="32"/>
          <w:szCs w:val="32"/>
          <w:lang w:val="en-US" w:eastAsia="zh-CN"/>
        </w:rPr>
      </w:pPr>
      <w:bookmarkStart w:id="6" w:name="_Toc14606"/>
      <w:r>
        <w:rPr>
          <w:rFonts w:hint="default" w:ascii="Times New Roman" w:hAnsi="Times New Roman" w:eastAsia="方正黑体_GBK" w:cs="Times New Roman"/>
          <w:sz w:val="32"/>
          <w:szCs w:val="32"/>
          <w:lang w:val="en-US" w:eastAsia="zh-CN"/>
        </w:rPr>
        <w:t>3.编制原则</w:t>
      </w:r>
      <w:bookmarkEnd w:id="6"/>
    </w:p>
    <w:p w14:paraId="56BC03C4">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7" w:name="_Toc5017"/>
      <w:r>
        <w:rPr>
          <w:rFonts w:hint="default" w:ascii="Times New Roman" w:hAnsi="Times New Roman" w:eastAsia="方正楷体简体" w:cs="Times New Roman"/>
          <w:sz w:val="32"/>
          <w:szCs w:val="32"/>
          <w:lang w:val="en-US" w:eastAsia="zh-CN"/>
        </w:rPr>
        <w:t>3.1 符合性原则</w:t>
      </w:r>
      <w:bookmarkEnd w:id="7"/>
    </w:p>
    <w:p w14:paraId="307CDC9B">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针对中央农村环境整治资金支持范围，梳理现行政策文件对申请中央生态环境资金项目作出的规定，考虑资金支持重点、资金支持项目类型、生活污水治理模式等，提出方案编制应遵循的一般规定和基本原则。</w:t>
      </w:r>
    </w:p>
    <w:p w14:paraId="7FC284F8">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8" w:name="_Toc15527"/>
      <w:r>
        <w:rPr>
          <w:rFonts w:hint="default" w:ascii="Times New Roman" w:hAnsi="Times New Roman" w:eastAsia="方正楷体简体" w:cs="Times New Roman"/>
          <w:sz w:val="32"/>
          <w:szCs w:val="32"/>
          <w:lang w:val="en-US" w:eastAsia="zh-CN"/>
        </w:rPr>
        <w:t>3.2 适宜性原则</w:t>
      </w:r>
      <w:bookmarkEnd w:id="8"/>
    </w:p>
    <w:p w14:paraId="4B2F49C8">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结合村社地理条件、人口分布、土地消纳能力、环境敏感度等因素，提出村社生活污水治理模式论证过程，因地制宜治理农村生活污水。</w:t>
      </w:r>
    </w:p>
    <w:p w14:paraId="54C6991C">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9" w:name="_Toc28382"/>
      <w:r>
        <w:rPr>
          <w:rFonts w:hint="default" w:ascii="Times New Roman" w:hAnsi="Times New Roman" w:eastAsia="方正楷体简体" w:cs="Times New Roman"/>
          <w:sz w:val="32"/>
          <w:szCs w:val="32"/>
          <w:lang w:val="en-US" w:eastAsia="zh-CN"/>
        </w:rPr>
        <w:t>3.3 可行性原则</w:t>
      </w:r>
      <w:bookmarkEnd w:id="9"/>
    </w:p>
    <w:p w14:paraId="43929BFB">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梳理国家、市级发布的农村生活污水治理技术指南中已成熟应用于重庆市农村地区的污水治理技术工艺，提出污水收集系统设计应遵循的技术要求，明确项目建设运维保障体系，提升项目实施落地的可行性。</w:t>
      </w:r>
    </w:p>
    <w:p w14:paraId="77A64B23">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10" w:name="_Toc2499"/>
      <w:r>
        <w:rPr>
          <w:rFonts w:hint="default" w:ascii="Times New Roman" w:hAnsi="Times New Roman" w:eastAsia="方正楷体简体" w:cs="Times New Roman"/>
          <w:sz w:val="32"/>
          <w:szCs w:val="32"/>
          <w:lang w:val="en-US" w:eastAsia="zh-CN"/>
        </w:rPr>
        <w:t>3.4 规范性原则</w:t>
      </w:r>
      <w:bookmarkEnd w:id="10"/>
    </w:p>
    <w:p w14:paraId="39836BE5">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提出村社基本信息、项目工程量、运维费用测算、部分农村生活污水治理工程投资估算参考单价及依据，对水质水量等数据收集设计作出规定，形成项目方案编制大纲，提升项目编制的规范性。</w:t>
      </w:r>
    </w:p>
    <w:p w14:paraId="0B8A0A8A">
      <w:pPr>
        <w:bidi w:val="0"/>
        <w:spacing w:line="360" w:lineRule="auto"/>
        <w:outlineLvl w:val="0"/>
        <w:rPr>
          <w:rFonts w:hint="default" w:ascii="Times New Roman" w:hAnsi="Times New Roman" w:eastAsia="方正黑体_GBK" w:cs="Times New Roman"/>
          <w:sz w:val="32"/>
          <w:szCs w:val="32"/>
          <w:lang w:val="en-US" w:eastAsia="zh-CN"/>
        </w:rPr>
      </w:pPr>
      <w:bookmarkStart w:id="11" w:name="_Toc14188"/>
      <w:r>
        <w:rPr>
          <w:rFonts w:hint="default" w:ascii="Times New Roman" w:hAnsi="Times New Roman" w:eastAsia="方正黑体_GBK" w:cs="Times New Roman"/>
          <w:sz w:val="32"/>
          <w:szCs w:val="32"/>
          <w:lang w:val="en-US" w:eastAsia="zh-CN"/>
        </w:rPr>
        <w:t>4.编制过程</w:t>
      </w:r>
      <w:bookmarkEnd w:id="11"/>
    </w:p>
    <w:p w14:paraId="6BE1EA4F">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5月，重庆市生态环境科学研究院承担重庆市生态环境局项目《农村生活污水治理技术支撑》，其中要求“按照中央农村环境整治项目储备库入库要求，指导开展项目策划和入库”，由重庆市生态环境科学研究院负责。</w:t>
      </w:r>
    </w:p>
    <w:p w14:paraId="757A832E">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生态环境科学研究院随即开展现场调研、资料收集、座谈交流等工作，查阅收集关于中央生态环境资金项目方案编制的相关文件，初步掌握编写中央生态环境资金项目—生活污水治理项目编制方案的技术要点与各个板块的具体要求。经资料整理分析，初步提出农村生活污水治理模式论证、技术工艺比选等技术要点内容，</w:t>
      </w:r>
      <w:r>
        <w:rPr>
          <w:rFonts w:hint="eastAsia" w:ascii="Times New Roman" w:hAnsi="Times New Roman" w:eastAsia="方正仿宋_GBK" w:cs="Times New Roman"/>
          <w:sz w:val="32"/>
          <w:szCs w:val="32"/>
          <w:lang w:val="en-US" w:eastAsia="zh-CN"/>
        </w:rPr>
        <w:t>形成</w:t>
      </w:r>
      <w:r>
        <w:rPr>
          <w:rFonts w:hint="default" w:ascii="Times New Roman" w:hAnsi="Times New Roman" w:eastAsia="方正仿宋_GBK" w:cs="Times New Roman"/>
          <w:sz w:val="32"/>
          <w:szCs w:val="32"/>
          <w:lang w:val="en-US" w:eastAsia="zh-CN"/>
        </w:rPr>
        <w:t>《农村生活污水治理项目方案编制指南》编制大纲。</w:t>
      </w:r>
    </w:p>
    <w:p w14:paraId="24B538D3">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随后，为提高农村生活污水治理项目方案编制指南适宜性与实用性，组织重庆阁林环保科技有限公司、重庆科技大学共同制定指南，力求在政策上、技术上、市场上进一步提升，并征求熟悉农业农村工作、市政管网设计、工程造价等领域专家意见。2025年3月，《农村生活污水治理项目方案编制指南》编制组申请团体标准立项并获准。</w:t>
      </w:r>
    </w:p>
    <w:p w14:paraId="6E6FDB57">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本规范的主要编制工作过程如下：</w:t>
      </w:r>
    </w:p>
    <w:p w14:paraId="2DDD7BA5">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2024年5-8月，整理生态环境部、财政部已的关于中央生态环境资金项目入库的相关政策文件，特别是梳理其中涉及农村生活污水治理类项目入库要求。收集国家、重庆市在库项目方案以及项目评审中专家提出的具体意见，为后续编制指南奠定基础。</w:t>
      </w:r>
    </w:p>
    <w:p w14:paraId="4428B670">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（2）2024年9-10月，大量开展已实施项目的现场调研工作，对照项目文本方案，梳理治理模式、治理工艺、管网设计与已实施项目的匹配性以及发挥的治理效果，反推项目文本编制中应特别提出的技术要求。</w:t>
      </w:r>
    </w:p>
    <w:p w14:paraId="7E4830AB">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（3）2024年11-12月，编制组多轮讨论指南编制大纲、技术要点及附录内容，结合现场调研工作完成《农村生活污水治理项目方案编制指南》大纲编写。</w:t>
      </w:r>
    </w:p>
    <w:p w14:paraId="786FF907">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（4）2025年1月-2月，形成《农村生活污水治理项目方案编制指南》，开展团体标准制修订项目申报。</w:t>
      </w:r>
    </w:p>
    <w:p w14:paraId="7AD33C86">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（5）2025年3月，通过《农村生活污水治理项目方案编制指南》立项审查，并根据专家意见对指南修改完善，形成《农村生活污水治理项目方案编制指南》（初稿）。</w:t>
      </w:r>
    </w:p>
    <w:p w14:paraId="39BD5E67">
      <w:pPr>
        <w:bidi w:val="0"/>
        <w:spacing w:line="360" w:lineRule="auto"/>
        <w:outlineLvl w:val="0"/>
        <w:rPr>
          <w:rFonts w:hint="default" w:ascii="Times New Roman" w:hAnsi="Times New Roman" w:eastAsia="方正黑体_GBK" w:cs="Times New Roman"/>
          <w:sz w:val="32"/>
          <w:szCs w:val="32"/>
          <w:lang w:val="en-US" w:eastAsia="zh-CN"/>
        </w:rPr>
      </w:pPr>
      <w:bookmarkStart w:id="12" w:name="_Toc14999"/>
      <w:r>
        <w:rPr>
          <w:rFonts w:hint="default" w:ascii="Times New Roman" w:hAnsi="Times New Roman" w:eastAsia="方正黑体_GBK" w:cs="Times New Roman"/>
          <w:sz w:val="32"/>
          <w:szCs w:val="32"/>
          <w:lang w:val="en-US" w:eastAsia="zh-CN"/>
        </w:rPr>
        <w:t>5.编制依据</w:t>
      </w:r>
      <w:bookmarkEnd w:id="12"/>
    </w:p>
    <w:p w14:paraId="71658E79">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7959 粪便无害化卫生要求</w:t>
      </w:r>
    </w:p>
    <w:p w14:paraId="27ADAE95">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5084 农田灌溉水质标准</w:t>
      </w:r>
    </w:p>
    <w:p w14:paraId="53E006B9">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8978 污水综合排放标准</w:t>
      </w:r>
    </w:p>
    <w:p w14:paraId="486CE8FC">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19379 农村户厕卫生规范</w:t>
      </w:r>
    </w:p>
    <w:p w14:paraId="2FB8E896">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GB/T 37071 农村生活污水处理导则</w:t>
      </w:r>
    </w:p>
    <w:p w14:paraId="3F5D76EC">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GB/T 51347 农村生活污水处理工程技术标准</w:t>
      </w:r>
    </w:p>
    <w:p w14:paraId="3AF307DA">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GB/T 40201 农村生活污水处理设施运行效果评价技术要求</w:t>
      </w:r>
    </w:p>
    <w:p w14:paraId="34A33CE7">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50014 室外排水设计标准</w:t>
      </w:r>
    </w:p>
    <w:p w14:paraId="145B131D">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50015 建筑给水排水设计标准</w:t>
      </w:r>
    </w:p>
    <w:p w14:paraId="7B1C10CE">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GB/T 38838 农村集中下水道收集户厕建设技术规范</w:t>
      </w:r>
    </w:p>
    <w:p w14:paraId="17B35CA7">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GB/T 23486 城镇污水处理厂污泥处置 园林绿化用泥质</w:t>
      </w:r>
    </w:p>
    <w:p w14:paraId="3B4FEC66">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GB 50288 灌溉与排水工程设计标准</w:t>
      </w:r>
    </w:p>
    <w:p w14:paraId="48B07419">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DB 50/848 农村生活污水集中处理设施水污染物排放标准</w:t>
      </w:r>
    </w:p>
    <w:p w14:paraId="69923EEF">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DBJ50/T-296 山地城市室外排水管渠设计标准</w:t>
      </w:r>
    </w:p>
    <w:p w14:paraId="5C3DE23D">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HJ 574 农村生活污染控制技术规范</w:t>
      </w:r>
    </w:p>
    <w:p w14:paraId="547D376D">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CJJ 124 镇（乡）村排水工程技术规程</w:t>
      </w:r>
    </w:p>
    <w:p w14:paraId="33DE0F73">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CJ/T309 </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www.baidu.com/link?url=WwKllXp8MakqVUZfH0BKCi3EjCaDZSglOSqbfNB19qyKfcs5rjv-pYZnVhXo4v0IF6LSymLMXJuVVWjuJVp1YfbnVxSpAnI_PpS4d1w7qsrS8OQL981vyIG7pSgnke561_1ZaaA_QmkNororb4NeTdnT3wlzq4EbenQWKS5VG2vFXOs6Ar5Pq3Ku6Erl2JEIOx96GCX5m2Ty5vwPCtoL_fSJJkOKIG9xo2HFwaChG7yZOW1eih63pEfSGxgW9e1x" \t "https://www.baidu.com/_blank"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城镇污水处理厂污泥处置农用泥质</w:t>
      </w:r>
    </w:p>
    <w:p w14:paraId="7667E976">
      <w:pPr>
        <w:outlineLvl w:val="0"/>
        <w:rPr>
          <w:rFonts w:hint="default" w:ascii="Times New Roman" w:hAnsi="Times New Roman" w:eastAsia="方正黑体_GBK" w:cs="Times New Roman"/>
          <w:sz w:val="32"/>
          <w:szCs w:val="32"/>
          <w:lang w:val="en-US" w:eastAsia="zh-CN"/>
        </w:rPr>
      </w:pPr>
      <w:bookmarkStart w:id="13" w:name="_Toc14096"/>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黑体_GBK" w:cs="Times New Roman"/>
          <w:sz w:val="32"/>
          <w:szCs w:val="32"/>
          <w:lang w:val="en-US" w:eastAsia="zh-CN"/>
        </w:rPr>
        <w:t>6 主要内容</w:t>
      </w:r>
      <w:bookmarkEnd w:id="13"/>
    </w:p>
    <w:p w14:paraId="44202E1F">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14" w:name="_Toc28779"/>
      <w:r>
        <w:rPr>
          <w:rFonts w:hint="default" w:ascii="Times New Roman" w:hAnsi="Times New Roman" w:eastAsia="方正楷体简体" w:cs="Times New Roman"/>
          <w:sz w:val="32"/>
          <w:szCs w:val="32"/>
          <w:lang w:val="en-US" w:eastAsia="zh-CN"/>
        </w:rPr>
        <w:t>6.1 总体框架</w:t>
      </w:r>
      <w:bookmarkEnd w:id="14"/>
    </w:p>
    <w:p w14:paraId="6AA8BE8A">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南》共分为6个章节，第1节为适用范围，明确《指南》的适用对象。第2节为规范性引用文件，明确《指南》在制定过程中引用的相关标准和规范等。第3节为术语和定义，对《指南》部分名词进行解释说明。第4节为一般规定，明确项目方案编制应满足的一般规定。第5节为编制原则，对项目方案编制应遵循的编制原则提出要求。第6节为编制要点，对项目方案编制中治理模式论证、收集系统论证等技术要点作出规定。</w:t>
      </w:r>
    </w:p>
    <w:p w14:paraId="393E39E0">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outlineLvl w:val="1"/>
        <w:rPr>
          <w:rFonts w:hint="default" w:ascii="Times New Roman" w:hAnsi="Times New Roman" w:eastAsia="方正楷体简体" w:cs="Times New Roman"/>
          <w:sz w:val="32"/>
          <w:szCs w:val="32"/>
          <w:lang w:val="en-US" w:eastAsia="zh-CN"/>
        </w:rPr>
      </w:pPr>
      <w:bookmarkStart w:id="15" w:name="_Toc13813"/>
      <w:r>
        <w:rPr>
          <w:rFonts w:hint="default" w:ascii="Times New Roman" w:hAnsi="Times New Roman" w:eastAsia="方正楷体简体" w:cs="Times New Roman"/>
          <w:sz w:val="32"/>
          <w:szCs w:val="32"/>
          <w:lang w:val="en-US" w:eastAsia="zh-CN"/>
        </w:rPr>
        <w:t>6.2 具体内容</w:t>
      </w:r>
      <w:bookmarkEnd w:id="15"/>
    </w:p>
    <w:p w14:paraId="30E67CEB">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2"/>
        <w:rPr>
          <w:rFonts w:hint="default" w:ascii="Times New Roman" w:hAnsi="Times New Roman" w:eastAsia="方正仿宋_GBK" w:cs="Times New Roman"/>
          <w:sz w:val="32"/>
          <w:szCs w:val="32"/>
          <w:lang w:val="en-US" w:eastAsia="zh-CN"/>
        </w:rPr>
      </w:pPr>
      <w:bookmarkStart w:id="16" w:name="_Toc22196"/>
      <w:r>
        <w:rPr>
          <w:rFonts w:hint="default" w:ascii="Times New Roman" w:hAnsi="Times New Roman" w:eastAsia="方正仿宋_GBK" w:cs="Times New Roman"/>
          <w:sz w:val="32"/>
          <w:szCs w:val="32"/>
          <w:lang w:val="en-US" w:eastAsia="zh-CN"/>
        </w:rPr>
        <w:t>6.2.1 适用范围</w:t>
      </w:r>
      <w:bookmarkEnd w:id="16"/>
    </w:p>
    <w:p w14:paraId="6A21A3BF">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本指南规定了农村生活污水治理项目方案编制的适用地区以及申报中央资金类型。</w:t>
      </w:r>
    </w:p>
    <w:p w14:paraId="64BE3E6A">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2"/>
        <w:rPr>
          <w:rFonts w:hint="default" w:ascii="Times New Roman" w:hAnsi="Times New Roman" w:eastAsia="方正仿宋_GBK" w:cs="Times New Roman"/>
          <w:sz w:val="32"/>
          <w:szCs w:val="32"/>
          <w:lang w:val="en-US" w:eastAsia="zh-CN"/>
        </w:rPr>
      </w:pPr>
      <w:bookmarkStart w:id="17" w:name="_Toc3539"/>
      <w:r>
        <w:rPr>
          <w:rFonts w:hint="default" w:ascii="Times New Roman" w:hAnsi="Times New Roman" w:eastAsia="方正仿宋_GBK" w:cs="Times New Roman"/>
          <w:sz w:val="32"/>
          <w:szCs w:val="32"/>
          <w:lang w:val="en-US" w:eastAsia="zh-CN"/>
        </w:rPr>
        <w:t>6.2.2 一般规定</w:t>
      </w:r>
      <w:bookmarkEnd w:id="17"/>
    </w:p>
    <w:p w14:paraId="11DE9060">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主要包括项目总投资、村社数量、生活污水年度重点治理村数量、新增村及提质增效村数量等技术评审规定的必要内容及要求。</w:t>
      </w:r>
    </w:p>
    <w:p w14:paraId="017CE805">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2"/>
        <w:rPr>
          <w:rFonts w:hint="default" w:ascii="Times New Roman" w:hAnsi="Times New Roman" w:eastAsia="方正仿宋_GBK" w:cs="Times New Roman"/>
          <w:sz w:val="32"/>
          <w:szCs w:val="32"/>
          <w:lang w:val="en-US" w:eastAsia="zh-CN"/>
        </w:rPr>
      </w:pPr>
      <w:bookmarkStart w:id="18" w:name="_Toc5143"/>
      <w:r>
        <w:rPr>
          <w:rFonts w:hint="default" w:ascii="Times New Roman" w:hAnsi="Times New Roman" w:eastAsia="方正仿宋_GBK" w:cs="Times New Roman"/>
          <w:sz w:val="32"/>
          <w:szCs w:val="32"/>
          <w:lang w:val="en-US" w:eastAsia="zh-CN"/>
        </w:rPr>
        <w:t>6.2.3 编制原则</w:t>
      </w:r>
      <w:bookmarkEnd w:id="18"/>
    </w:p>
    <w:p w14:paraId="72021B7A">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国家、市级未来三年中央农村环境整治资金重点支持方向、评审中重点关注方面提出项目方案编制首先应应遵循因地制宜、以人为本的基本原则，以问题导向为出发点编制项目方案，在治理模式上优先论证资源化利用治理模式的可行性等原则。</w:t>
      </w:r>
    </w:p>
    <w:p w14:paraId="7339B59D">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2"/>
        <w:rPr>
          <w:rFonts w:hint="default" w:ascii="Times New Roman" w:hAnsi="Times New Roman" w:eastAsia="方正仿宋_GBK" w:cs="Times New Roman"/>
          <w:sz w:val="32"/>
          <w:szCs w:val="32"/>
          <w:lang w:val="en-US" w:eastAsia="zh-CN"/>
        </w:rPr>
      </w:pPr>
      <w:bookmarkStart w:id="19" w:name="_Toc22358"/>
      <w:r>
        <w:rPr>
          <w:rFonts w:hint="default" w:ascii="Times New Roman" w:hAnsi="Times New Roman" w:eastAsia="方正仿宋_GBK" w:cs="Times New Roman"/>
          <w:sz w:val="32"/>
          <w:szCs w:val="32"/>
          <w:lang w:val="en-US" w:eastAsia="zh-CN"/>
        </w:rPr>
        <w:t>6.2.4 编制要点</w:t>
      </w:r>
      <w:bookmarkEnd w:id="19"/>
    </w:p>
    <w:p w14:paraId="61B2D8A3">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6.2.4.1 </w:t>
      </w:r>
      <w:r>
        <w:rPr>
          <w:rFonts w:hint="default" w:ascii="Times New Roman" w:hAnsi="Times New Roman" w:eastAsia="方正仿宋_GBK" w:cs="Times New Roman"/>
          <w:sz w:val="32"/>
          <w:szCs w:val="32"/>
          <w:lang w:val="en-US" w:eastAsia="zh-CN"/>
        </w:rPr>
        <w:t>村社基本情况</w:t>
      </w:r>
    </w:p>
    <w:p w14:paraId="284634BC">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对拟治理村社名称、户数、人口、地形地貌、改厕情况、供排水方式等必须调查的现场数据作出规定，并考虑旅游村、环境敏感区等特定因素，形成数据详实的村社基本情况。</w:t>
      </w:r>
    </w:p>
    <w:p w14:paraId="3722AF4E">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6.2.4.2 </w:t>
      </w:r>
      <w:r>
        <w:rPr>
          <w:rFonts w:hint="default" w:ascii="Times New Roman" w:hAnsi="Times New Roman" w:eastAsia="方正仿宋_GBK" w:cs="Times New Roman"/>
          <w:sz w:val="32"/>
          <w:szCs w:val="32"/>
          <w:lang w:val="en-US" w:eastAsia="zh-CN"/>
        </w:rPr>
        <w:t>项目必要性</w:t>
      </w:r>
    </w:p>
    <w:p w14:paraId="45B9033B">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提出项目要从符合性分析角度，阐述项目与国家、重庆市、区县有关规划或实施方案的符合性。项目必要性方面主要从改善人居环境和提升生态环境质量描述共性问题，并要求测算对区域生活污水治理（管控）率贡献度以及开展村民生活污水治理意愿调查。</w:t>
      </w:r>
    </w:p>
    <w:p w14:paraId="25752A0E">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6.2.4.3 水质水量</w:t>
      </w:r>
    </w:p>
    <w:p w14:paraId="098973F0">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主要对水量水质调查数据获取方式、考虑因素进行说明。</w:t>
      </w:r>
    </w:p>
    <w:p w14:paraId="31A1DCCE">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6.2.4.4 治理模式论证</w:t>
      </w:r>
    </w:p>
    <w:p w14:paraId="4A7FBF76">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结合土地消纳能力、环境敏感区、距城镇污水收集管网距离及处理能力等因素，在经技术经济比较情形下结合居民用水意愿，开展村社治理模式论证。</w:t>
      </w:r>
    </w:p>
    <w:p w14:paraId="5DF0EE44">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6.2.4.5 收集系统论证</w:t>
      </w:r>
    </w:p>
    <w:p w14:paraId="0539FEB5">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考虑人口规模及居住方式，对管网（沟渠）收集方式、敷设方式作出规定，提出管网管材管径在不同情形下的建议规格，并对农家乐、高海拔地区生活污水收集处理提出要求。</w:t>
      </w:r>
    </w:p>
    <w:p w14:paraId="361BCCCB">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6.2.4.6 技术工艺论证</w:t>
      </w:r>
    </w:p>
    <w:p w14:paraId="217AD515">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参照《农村生活污水资源化利用指南（试行）》，对生活污水资源化利用方式作出相关规定。对建设相对集中式或集中式污水处理设施工艺比选上，提出出水水质要求、工艺比选需考虑的因素及适宜重庆的集中达标处理工艺类别。</w:t>
      </w:r>
    </w:p>
    <w:p w14:paraId="1C19A575">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6.2.4.7 运行维护</w:t>
      </w:r>
    </w:p>
    <w:p w14:paraId="6B8C85CB">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对项目运行维护方案应包含的内容、运维模式、运维措施、运维费用及资金保障提出相应要求，保障项目实施后能稳定发挥治理效果。</w:t>
      </w:r>
    </w:p>
    <w:p w14:paraId="378DBECA">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6.2.4.8 工程投资与资金筹措</w:t>
      </w:r>
    </w:p>
    <w:p w14:paraId="4E0663A6">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梳理现行涉及农村生活污水治理工程的部分投资估算依据，对工程投资估算应包含的费用作出说明。</w:t>
      </w:r>
    </w:p>
    <w:p w14:paraId="34456F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2"/>
        <w:rPr>
          <w:rFonts w:hint="default" w:ascii="Times New Roman" w:hAnsi="Times New Roman" w:eastAsia="方正仿宋_GBK" w:cs="Times New Roman"/>
          <w:sz w:val="32"/>
          <w:szCs w:val="32"/>
          <w:lang w:val="en-US" w:eastAsia="zh-CN"/>
        </w:rPr>
      </w:pPr>
      <w:bookmarkStart w:id="20" w:name="_Toc16550"/>
      <w:r>
        <w:rPr>
          <w:rFonts w:hint="default" w:ascii="Times New Roman" w:hAnsi="Times New Roman" w:eastAsia="方正仿宋_GBK" w:cs="Times New Roman"/>
          <w:sz w:val="32"/>
          <w:szCs w:val="32"/>
          <w:lang w:val="en-US" w:eastAsia="zh-CN"/>
        </w:rPr>
        <w:t>6.2.5 附件</w:t>
      </w:r>
      <w:bookmarkEnd w:id="20"/>
    </w:p>
    <w:p w14:paraId="3C7DFE20">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对农村生活污水治理项目方案编制所需基础资料、村属性统计表、村社基本信息表、主要工程量汇总表、运维费估算表、工程投资估算汇总表进行了说明，并提供农村生活污水治理项目方案编制大纲。</w:t>
      </w:r>
    </w:p>
    <w:p w14:paraId="5296F159">
      <w:pPr>
        <w:ind w:firstLine="640" w:firstLineChars="200"/>
        <w:rPr>
          <w:rFonts w:hint="default" w:ascii="Times New Roman" w:hAnsi="Times New Roman" w:eastAsia="方正仿宋_GBK" w:cs="Times New Roman"/>
          <w:sz w:val="32"/>
          <w:szCs w:val="32"/>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1" w:fontKey="{5CCD3247-2C1C-47C3-A604-121CCDFFADF4}"/>
  </w:font>
  <w:font w:name="方正楷体简体">
    <w:panose1 w:val="03000509000000000000"/>
    <w:charset w:val="86"/>
    <w:family w:val="auto"/>
    <w:pitch w:val="default"/>
    <w:sig w:usb0="00000001" w:usb1="080E0000" w:usb2="00000000" w:usb3="00000000" w:csb0="00040000" w:csb1="00000000"/>
    <w:embedRegular r:id="rId2" w:fontKey="{E6063332-E2FA-4AC5-B523-0E84B4F5115D}"/>
  </w:font>
  <w:font w:name="方正仿宋_GBK">
    <w:panose1 w:val="03000509000000000000"/>
    <w:charset w:val="86"/>
    <w:family w:val="auto"/>
    <w:pitch w:val="default"/>
    <w:sig w:usb0="00000001" w:usb1="080E0000" w:usb2="00000000" w:usb3="00000000" w:csb0="00040000" w:csb1="00000000"/>
    <w:embedRegular r:id="rId3" w:fontKey="{3E84C40A-8EFE-4953-86A1-88CEDC0EB7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FA73">
    <w:pPr>
      <w:pStyle w:val="6"/>
      <w:jc w:val="center"/>
    </w:pPr>
  </w:p>
  <w:p w14:paraId="16CA4C4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A0B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85D57">
                          <w:pPr>
                            <w:pStyle w:val="6"/>
                            <w:rPr>
                              <w:rFonts w:hint="default" w:ascii="Times New Roman" w:hAnsi="Times New Roman" w:cs="Times New Roman"/>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785D57">
                    <w:pPr>
                      <w:pStyle w:val="6"/>
                      <w:rPr>
                        <w:rFonts w:hint="default" w:ascii="Times New Roman" w:hAnsi="Times New Roman" w:cs="Times New Roman"/>
                      </w:rPr>
                    </w:pPr>
                    <w:r>
                      <w:fldChar w:fldCharType="begin"/>
                    </w:r>
                    <w:r>
                      <w:instrText xml:space="preserve"> PAGE  \* MERGEFORMAT </w:instrText>
                    </w:r>
                    <w:r>
                      <w:fldChar w:fldCharType="separate"/>
                    </w:r>
                    <w:r>
                      <w:t>3</w:t>
                    </w:r>
                    <w:r>
                      <w:fldChar w:fldCharType="end"/>
                    </w:r>
                  </w:p>
                </w:txbxContent>
              </v:textbox>
            </v:shape>
          </w:pict>
        </mc:Fallback>
      </mc:AlternateContent>
    </w:r>
  </w:p>
  <w:p w14:paraId="22B4558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D65BD"/>
    <w:rsid w:val="0165325A"/>
    <w:rsid w:val="01785675"/>
    <w:rsid w:val="05015EA4"/>
    <w:rsid w:val="076562D9"/>
    <w:rsid w:val="086033BC"/>
    <w:rsid w:val="08BB4E94"/>
    <w:rsid w:val="096674B8"/>
    <w:rsid w:val="0A123B77"/>
    <w:rsid w:val="0AE4604C"/>
    <w:rsid w:val="0C2A0F50"/>
    <w:rsid w:val="0DC37FDE"/>
    <w:rsid w:val="0E164F21"/>
    <w:rsid w:val="14347724"/>
    <w:rsid w:val="1B5711E8"/>
    <w:rsid w:val="1CD06B5C"/>
    <w:rsid w:val="1CF337D0"/>
    <w:rsid w:val="1CF37E09"/>
    <w:rsid w:val="1D50041C"/>
    <w:rsid w:val="21824E5B"/>
    <w:rsid w:val="21CB7A15"/>
    <w:rsid w:val="2500187D"/>
    <w:rsid w:val="25BC3E6A"/>
    <w:rsid w:val="2A7F74BC"/>
    <w:rsid w:val="2B762899"/>
    <w:rsid w:val="2DAC4350"/>
    <w:rsid w:val="303B3C36"/>
    <w:rsid w:val="305150E4"/>
    <w:rsid w:val="31337340"/>
    <w:rsid w:val="314A25F5"/>
    <w:rsid w:val="32703E25"/>
    <w:rsid w:val="336F654B"/>
    <w:rsid w:val="3AD61C88"/>
    <w:rsid w:val="3EF96927"/>
    <w:rsid w:val="3F905A15"/>
    <w:rsid w:val="401D65BD"/>
    <w:rsid w:val="40554489"/>
    <w:rsid w:val="407C09D0"/>
    <w:rsid w:val="41B82F94"/>
    <w:rsid w:val="48E95A9F"/>
    <w:rsid w:val="4A08519B"/>
    <w:rsid w:val="4BB577F8"/>
    <w:rsid w:val="4C795916"/>
    <w:rsid w:val="4FE449DC"/>
    <w:rsid w:val="50722E82"/>
    <w:rsid w:val="542E6958"/>
    <w:rsid w:val="55444F64"/>
    <w:rsid w:val="555E5FB2"/>
    <w:rsid w:val="561A526D"/>
    <w:rsid w:val="5A57365F"/>
    <w:rsid w:val="5D734D2C"/>
    <w:rsid w:val="5FA40A7B"/>
    <w:rsid w:val="5FD672A1"/>
    <w:rsid w:val="624059FA"/>
    <w:rsid w:val="62662018"/>
    <w:rsid w:val="639E7D62"/>
    <w:rsid w:val="665E2C07"/>
    <w:rsid w:val="675E19EB"/>
    <w:rsid w:val="6796473E"/>
    <w:rsid w:val="68450DC8"/>
    <w:rsid w:val="68DB029A"/>
    <w:rsid w:val="69515CAB"/>
    <w:rsid w:val="6C4D3988"/>
    <w:rsid w:val="6E505504"/>
    <w:rsid w:val="70691924"/>
    <w:rsid w:val="71FE3DD1"/>
    <w:rsid w:val="7499627D"/>
    <w:rsid w:val="76090D3A"/>
    <w:rsid w:val="765E7D90"/>
    <w:rsid w:val="7A4F4009"/>
    <w:rsid w:val="7AAD2A82"/>
    <w:rsid w:val="7B26015E"/>
    <w:rsid w:val="7BD81C06"/>
    <w:rsid w:val="7CB504C8"/>
    <w:rsid w:val="7ECF549D"/>
    <w:rsid w:val="7EE771E5"/>
    <w:rsid w:val="7FAC2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00" w:beforeLines="100" w:beforeAutospacing="0" w:after="100" w:afterLines="100" w:afterAutospacing="0" w:line="240" w:lineRule="auto"/>
      <w:ind w:left="0" w:leftChars="0" w:right="0" w:rightChars="0"/>
      <w:jc w:val="left"/>
      <w:outlineLvl w:val="0"/>
    </w:pPr>
    <w:rPr>
      <w:rFonts w:ascii="Times New Roman" w:hAnsi="Times New Roman" w:eastAsia="宋体"/>
      <w:b/>
      <w:kern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4"/>
    <w:basedOn w:val="3"/>
    <w:next w:val="1"/>
    <w:qFormat/>
    <w:uiPriority w:val="0"/>
    <w:pPr>
      <w:spacing w:line="372" w:lineRule="auto"/>
      <w:outlineLvl w:val="3"/>
    </w:pPr>
    <w:rPr>
      <w:rFonts w:ascii="Arial" w:hAnsi="Arial"/>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4476</Words>
  <Characters>4781</Characters>
  <Lines>0</Lines>
  <Paragraphs>0</Paragraphs>
  <TotalTime>76</TotalTime>
  <ScaleCrop>false</ScaleCrop>
  <LinksUpToDate>false</LinksUpToDate>
  <CharactersWithSpaces>4868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2025-03-03T07:29:00Z</dcterms:created>
  <dc:creator>admin</dc:creator>
  <cp:lastModifiedBy>若不为</cp:lastModifiedBy>
  <dcterms:modified xsi:type="dcterms:W3CDTF">2025-03-17T09:30:31Z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004D6943F6104DD89C60E2896CEBEE5B_13</vt:lpwstr>
  </property>
  <property fmtid="{D5CDD505-2E9C-101B-9397-08002B2CF9AE}" pid="4" name="KSOTemplateDocerSaveRecord">
    <vt:lpwstr>eyJoZGlkIjoiMDBhNzJiNGJkNTE2MmM3ZDRhNmRhN2Q5OGNhNzc0M2EiLCJ1c2VySWQiOiIyMzY4OTc3MTUifQ==</vt:lpwstr>
  </property>
</Properties>
</file>